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B60" w:rsidRPr="005D0B60" w:rsidRDefault="005D0B60" w:rsidP="005D0B60">
      <w:pPr>
        <w:pStyle w:val="HiLumiSubtitle"/>
      </w:pPr>
      <w:r w:rsidRPr="005D0B60">
        <w:t xml:space="preserve">Grant Agreement No: </w:t>
      </w:r>
      <w:r w:rsidR="00F7510F">
        <w:t>284404</w:t>
      </w:r>
    </w:p>
    <w:p w:rsidR="004B1FB4" w:rsidRPr="00D943D5" w:rsidRDefault="00F7510F" w:rsidP="00056BE3">
      <w:pPr>
        <w:pStyle w:val="HiLumiTitle"/>
      </w:pPr>
      <w:r>
        <w:t>HILUMI LHC</w:t>
      </w:r>
    </w:p>
    <w:p w:rsidR="005D0B60" w:rsidRDefault="00F7510F" w:rsidP="005D0B60">
      <w:pPr>
        <w:pStyle w:val="HiLumiSubtitle"/>
      </w:pPr>
      <w:r w:rsidRPr="00F7510F">
        <w:t>FP7 High Luminosity Large Hadron Collider Design Study</w:t>
      </w:r>
    </w:p>
    <w:p w:rsidR="005D0B60" w:rsidRDefault="005D0B60" w:rsidP="005D0B60">
      <w:pPr>
        <w:pStyle w:val="HiLumiSubtitle9pt"/>
      </w:pPr>
      <w:r w:rsidRPr="005D0B60">
        <w:t xml:space="preserve">Seventh Framework Programme, Capacities Specific Programme, Research Infrastructures, </w:t>
      </w:r>
      <w:r w:rsidR="00F7510F">
        <w:t>Collaborative Project, Design Study</w:t>
      </w:r>
    </w:p>
    <w:p w:rsidR="00365FD7" w:rsidRPr="00365FD7" w:rsidRDefault="00365FD7" w:rsidP="00365FD7"/>
    <w:p w:rsidR="00365FD7" w:rsidRPr="00373CF9" w:rsidRDefault="000376C2" w:rsidP="00365FD7">
      <w:pPr>
        <w:pStyle w:val="ReportType"/>
      </w:pPr>
      <w:r>
        <w:t>MILESTONE</w:t>
      </w:r>
      <w:r w:rsidR="00365FD7">
        <w:t xml:space="preserve"> report</w:t>
      </w:r>
    </w:p>
    <w:p w:rsidR="005C7558" w:rsidRPr="00FF31EA" w:rsidRDefault="005C7558" w:rsidP="00516977">
      <w:pPr>
        <w:rPr>
          <w:sz w:val="20"/>
        </w:rPr>
      </w:pPr>
    </w:p>
    <w:p w:rsidR="004B1FB4" w:rsidRPr="00D943D5" w:rsidRDefault="00B3586E" w:rsidP="00A21E90">
      <w:pPr>
        <w:pStyle w:val="DocTitle"/>
      </w:pPr>
      <w:r>
        <w:t xml:space="preserve">Study of the </w:t>
      </w:r>
      <w:r w:rsidR="00714E7C">
        <w:t xml:space="preserve">Superfluid </w:t>
      </w:r>
      <w:r>
        <w:t>He Cooling</w:t>
      </w:r>
      <w:r w:rsidR="001F1C98" w:rsidRPr="001D3C2B">
        <w:t xml:space="preserve"> </w:t>
      </w:r>
    </w:p>
    <w:p w:rsidR="004B1FB4" w:rsidRPr="00FF31EA" w:rsidRDefault="004B1FB4" w:rsidP="00A21E90">
      <w:pPr>
        <w:rPr>
          <w:sz w:val="20"/>
        </w:rPr>
      </w:pPr>
    </w:p>
    <w:p w:rsidR="004B1FB4" w:rsidRPr="00D943D5" w:rsidRDefault="000376C2" w:rsidP="002C18E1">
      <w:pPr>
        <w:pStyle w:val="DelTitle"/>
      </w:pPr>
      <w:r>
        <w:t>MILESTONE</w:t>
      </w:r>
      <w:r w:rsidR="004B1FB4" w:rsidRPr="00FF31EA">
        <w:t xml:space="preserve">: </w:t>
      </w:r>
      <w:r w:rsidRPr="00FF31EA">
        <w:t>M</w:t>
      </w:r>
      <w:r w:rsidR="009B0B3A">
        <w:t>S</w:t>
      </w:r>
      <w:r w:rsidR="00B3586E">
        <w:t>41</w:t>
      </w:r>
    </w:p>
    <w:p w:rsidR="005C7558" w:rsidRPr="00FF31EA" w:rsidRDefault="005C7558">
      <w:pPr>
        <w:rPr>
          <w:sz w:val="20"/>
        </w:rPr>
      </w:pPr>
    </w:p>
    <w:tbl>
      <w:tblPr>
        <w:tblW w:w="9096" w:type="dxa"/>
        <w:jc w:val="center"/>
        <w:tblBorders>
          <w:top w:val="single" w:sz="24" w:space="0" w:color="008DBC"/>
          <w:bottom w:val="single" w:sz="24" w:space="0" w:color="008DBC"/>
        </w:tblBorders>
        <w:tblLayout w:type="fixed"/>
        <w:tblCellMar>
          <w:left w:w="70" w:type="dxa"/>
          <w:right w:w="70" w:type="dxa"/>
        </w:tblCellMar>
        <w:tblLook w:val="0000" w:firstRow="0" w:lastRow="0" w:firstColumn="0" w:lastColumn="0" w:noHBand="0" w:noVBand="0"/>
      </w:tblPr>
      <w:tblGrid>
        <w:gridCol w:w="3792"/>
        <w:gridCol w:w="5304"/>
      </w:tblGrid>
      <w:tr w:rsidR="004B1FB4" w:rsidRPr="00D943D5" w:rsidTr="00056BE3">
        <w:trPr>
          <w:cantSplit/>
          <w:trHeight w:val="404"/>
          <w:jc w:val="center"/>
        </w:trPr>
        <w:tc>
          <w:tcPr>
            <w:tcW w:w="3792" w:type="dxa"/>
            <w:vAlign w:val="center"/>
          </w:tcPr>
          <w:p w:rsidR="004B1FB4" w:rsidRPr="00FF31EA" w:rsidRDefault="004B1FB4" w:rsidP="00001561">
            <w:pPr>
              <w:pStyle w:val="CoverTitle"/>
            </w:pPr>
            <w:r w:rsidRPr="00FF31EA">
              <w:rPr>
                <w:snapToGrid w:val="0"/>
              </w:rPr>
              <w:t>Document identifier:</w:t>
            </w:r>
          </w:p>
        </w:tc>
        <w:tc>
          <w:tcPr>
            <w:tcW w:w="5304" w:type="dxa"/>
            <w:vAlign w:val="center"/>
          </w:tcPr>
          <w:p w:rsidR="004B1FB4" w:rsidRPr="00FF31EA" w:rsidRDefault="008F7EE4" w:rsidP="009C626F">
            <w:pPr>
              <w:rPr>
                <w:rStyle w:val="DocId"/>
              </w:rPr>
            </w:pPr>
            <w:r w:rsidRPr="00FF31EA">
              <w:rPr>
                <w:rStyle w:val="DocId"/>
              </w:rPr>
              <w:fldChar w:fldCharType="begin"/>
            </w:r>
            <w:r w:rsidRPr="00FF31EA">
              <w:rPr>
                <w:rStyle w:val="DocId"/>
              </w:rPr>
              <w:instrText xml:space="preserve"> FILENAME   \* MERGEFORMAT </w:instrText>
            </w:r>
            <w:r w:rsidRPr="00FF31EA">
              <w:rPr>
                <w:rStyle w:val="DocId"/>
              </w:rPr>
              <w:fldChar w:fldCharType="separate"/>
            </w:r>
            <w:r w:rsidR="001E79C0">
              <w:rPr>
                <w:rStyle w:val="DocId"/>
                <w:noProof/>
              </w:rPr>
              <w:t>HILUMILHC-Mil-MS41_rev0.11</w:t>
            </w:r>
            <w:r w:rsidRPr="00FF31EA">
              <w:rPr>
                <w:rStyle w:val="DocId"/>
              </w:rPr>
              <w:fldChar w:fldCharType="end"/>
            </w:r>
          </w:p>
        </w:tc>
      </w:tr>
      <w:tr w:rsidR="004B1FB4" w:rsidRPr="00D943D5" w:rsidTr="00056BE3">
        <w:trPr>
          <w:cantSplit/>
          <w:trHeight w:val="608"/>
          <w:jc w:val="center"/>
        </w:trPr>
        <w:tc>
          <w:tcPr>
            <w:tcW w:w="3792" w:type="dxa"/>
            <w:vAlign w:val="center"/>
          </w:tcPr>
          <w:p w:rsidR="004B1FB4" w:rsidRPr="00D943D5" w:rsidRDefault="0004175D" w:rsidP="00001561">
            <w:pPr>
              <w:pStyle w:val="CoverTitle"/>
              <w:rPr>
                <w:snapToGrid w:val="0"/>
              </w:rPr>
            </w:pPr>
            <w:r w:rsidRPr="00D943D5">
              <w:rPr>
                <w:snapToGrid w:val="0"/>
              </w:rPr>
              <w:t>Due d</w:t>
            </w:r>
            <w:r w:rsidR="004B1FB4" w:rsidRPr="00D943D5">
              <w:rPr>
                <w:snapToGrid w:val="0"/>
              </w:rPr>
              <w:t xml:space="preserve">ate of </w:t>
            </w:r>
            <w:r w:rsidRPr="00D943D5">
              <w:rPr>
                <w:snapToGrid w:val="0"/>
              </w:rPr>
              <w:t>d</w:t>
            </w:r>
            <w:r w:rsidR="004B1FB4" w:rsidRPr="00D943D5">
              <w:rPr>
                <w:snapToGrid w:val="0"/>
              </w:rPr>
              <w:t>eliver</w:t>
            </w:r>
            <w:r w:rsidRPr="00D943D5">
              <w:rPr>
                <w:snapToGrid w:val="0"/>
              </w:rPr>
              <w:t>able:</w:t>
            </w:r>
          </w:p>
        </w:tc>
        <w:tc>
          <w:tcPr>
            <w:tcW w:w="5304" w:type="dxa"/>
            <w:vAlign w:val="center"/>
          </w:tcPr>
          <w:p w:rsidR="004B1FB4" w:rsidRPr="00D943D5" w:rsidRDefault="004B1FB4" w:rsidP="00E562F4">
            <w:r w:rsidRPr="00D943D5">
              <w:t xml:space="preserve">End of Month </w:t>
            </w:r>
            <w:r w:rsidR="00B3586E">
              <w:t>36</w:t>
            </w:r>
            <w:r w:rsidR="00FF31EA">
              <w:t xml:space="preserve"> </w:t>
            </w:r>
            <w:r w:rsidRPr="00D943D5">
              <w:t>(</w:t>
            </w:r>
            <w:r w:rsidR="00E562F4">
              <w:t>November</w:t>
            </w:r>
            <w:r w:rsidR="00FF31EA">
              <w:t xml:space="preserve"> 2014</w:t>
            </w:r>
            <w:r w:rsidRPr="00D943D5">
              <w:t>)</w:t>
            </w:r>
          </w:p>
        </w:tc>
      </w:tr>
      <w:tr w:rsidR="004B1FB4" w:rsidRPr="00D943D5" w:rsidTr="00056BE3">
        <w:trPr>
          <w:cantSplit/>
          <w:jc w:val="center"/>
        </w:trPr>
        <w:tc>
          <w:tcPr>
            <w:tcW w:w="3792" w:type="dxa"/>
            <w:vAlign w:val="center"/>
          </w:tcPr>
          <w:p w:rsidR="004B1FB4" w:rsidRPr="00D943D5" w:rsidRDefault="005D5FF9" w:rsidP="00001561">
            <w:pPr>
              <w:pStyle w:val="CoverTitle"/>
              <w:rPr>
                <w:snapToGrid w:val="0"/>
              </w:rPr>
            </w:pPr>
            <w:r>
              <w:rPr>
                <w:snapToGrid w:val="0"/>
              </w:rPr>
              <w:t>Report</w:t>
            </w:r>
            <w:r w:rsidR="004B1FB4" w:rsidRPr="00D943D5">
              <w:rPr>
                <w:snapToGrid w:val="0"/>
              </w:rPr>
              <w:t xml:space="preserve"> </w:t>
            </w:r>
            <w:r w:rsidR="00E3654A" w:rsidRPr="00D943D5">
              <w:rPr>
                <w:snapToGrid w:val="0"/>
              </w:rPr>
              <w:t>release</w:t>
            </w:r>
            <w:r w:rsidR="0004175D" w:rsidRPr="00D943D5">
              <w:rPr>
                <w:snapToGrid w:val="0"/>
              </w:rPr>
              <w:t xml:space="preserve"> date:</w:t>
            </w:r>
          </w:p>
        </w:tc>
        <w:tc>
          <w:tcPr>
            <w:tcW w:w="5304" w:type="dxa"/>
            <w:vAlign w:val="center"/>
          </w:tcPr>
          <w:p w:rsidR="004B1FB4" w:rsidRPr="00D943D5" w:rsidRDefault="009B0B3A" w:rsidP="00B52F32">
            <w:pPr>
              <w:pStyle w:val="DocDate"/>
            </w:pPr>
            <w:r>
              <w:t>Xx/xx</w:t>
            </w:r>
            <w:r w:rsidR="00FF31EA">
              <w:t>/2014</w:t>
            </w:r>
          </w:p>
        </w:tc>
      </w:tr>
      <w:tr w:rsidR="004B1FB4" w:rsidRPr="00D943D5" w:rsidTr="00056BE3">
        <w:trPr>
          <w:cantSplit/>
          <w:jc w:val="center"/>
        </w:trPr>
        <w:tc>
          <w:tcPr>
            <w:tcW w:w="3792" w:type="dxa"/>
            <w:vAlign w:val="center"/>
          </w:tcPr>
          <w:p w:rsidR="004B1FB4" w:rsidRPr="00D943D5" w:rsidRDefault="004B1FB4" w:rsidP="00001561">
            <w:pPr>
              <w:pStyle w:val="CoverTitle"/>
            </w:pPr>
            <w:r w:rsidRPr="00D943D5">
              <w:t>Work package:</w:t>
            </w:r>
          </w:p>
        </w:tc>
        <w:tc>
          <w:tcPr>
            <w:tcW w:w="5304" w:type="dxa"/>
            <w:vAlign w:val="center"/>
          </w:tcPr>
          <w:p w:rsidR="004B1FB4" w:rsidRPr="00D943D5" w:rsidRDefault="004B1FB4" w:rsidP="00B3586E">
            <w:r w:rsidRPr="00D943D5">
              <w:t>WP</w:t>
            </w:r>
            <w:r w:rsidR="00B3586E">
              <w:t>3</w:t>
            </w:r>
            <w:r w:rsidR="00FF31EA">
              <w:t xml:space="preserve">: </w:t>
            </w:r>
            <w:r w:rsidR="00B3586E">
              <w:t>Magnets</w:t>
            </w:r>
          </w:p>
        </w:tc>
      </w:tr>
      <w:tr w:rsidR="004B1FB4" w:rsidRPr="00D943D5" w:rsidTr="00056BE3">
        <w:trPr>
          <w:cantSplit/>
          <w:jc w:val="center"/>
        </w:trPr>
        <w:tc>
          <w:tcPr>
            <w:tcW w:w="3792" w:type="dxa"/>
            <w:vAlign w:val="center"/>
          </w:tcPr>
          <w:p w:rsidR="004B1FB4" w:rsidRPr="00D943D5" w:rsidRDefault="004B1FB4" w:rsidP="00001561">
            <w:pPr>
              <w:pStyle w:val="CoverTitle"/>
            </w:pPr>
            <w:r w:rsidRPr="00D943D5">
              <w:t xml:space="preserve">Lead </w:t>
            </w:r>
            <w:r w:rsidR="0004175D" w:rsidRPr="00D943D5">
              <w:t>b</w:t>
            </w:r>
            <w:r w:rsidRPr="00D943D5">
              <w:t>eneficiary:</w:t>
            </w:r>
          </w:p>
        </w:tc>
        <w:tc>
          <w:tcPr>
            <w:tcW w:w="5304" w:type="dxa"/>
            <w:vAlign w:val="center"/>
          </w:tcPr>
          <w:p w:rsidR="004B1FB4" w:rsidRPr="00D943D5" w:rsidRDefault="00FF31EA" w:rsidP="00001561">
            <w:r>
              <w:t>CERN</w:t>
            </w:r>
          </w:p>
        </w:tc>
      </w:tr>
      <w:tr w:rsidR="004B1FB4" w:rsidRPr="00D943D5" w:rsidTr="00056BE3">
        <w:trPr>
          <w:cantSplit/>
          <w:jc w:val="center"/>
        </w:trPr>
        <w:tc>
          <w:tcPr>
            <w:tcW w:w="3792" w:type="dxa"/>
            <w:vAlign w:val="center"/>
          </w:tcPr>
          <w:p w:rsidR="004B1FB4" w:rsidRPr="00D943D5" w:rsidRDefault="004B1FB4" w:rsidP="00001561">
            <w:pPr>
              <w:pStyle w:val="CoverTitle"/>
            </w:pPr>
            <w:r w:rsidRPr="00D943D5">
              <w:t>Document status:</w:t>
            </w:r>
          </w:p>
        </w:tc>
        <w:tc>
          <w:tcPr>
            <w:tcW w:w="5304" w:type="dxa"/>
            <w:vAlign w:val="center"/>
          </w:tcPr>
          <w:p w:rsidR="004B1FB4" w:rsidRPr="00D943D5" w:rsidRDefault="001F3EBD" w:rsidP="00001561">
            <w:r w:rsidRPr="005D0B60">
              <w:rPr>
                <w:highlight w:val="cyan"/>
              </w:rPr>
              <w:t>Draft</w:t>
            </w:r>
            <w:r w:rsidR="005D0B60" w:rsidRPr="005D0B60">
              <w:rPr>
                <w:highlight w:val="cyan"/>
              </w:rPr>
              <w:t xml:space="preserve"> [Final when fully approved]</w:t>
            </w:r>
          </w:p>
        </w:tc>
      </w:tr>
    </w:tbl>
    <w:p w:rsidR="004B1FB4" w:rsidRPr="00FF31EA" w:rsidRDefault="004B1FB4">
      <w:pPr>
        <w:pStyle w:val="Header"/>
        <w:tabs>
          <w:tab w:val="clear" w:pos="4819"/>
          <w:tab w:val="clear" w:pos="9071"/>
        </w:tabs>
        <w:rPr>
          <w:sz w:val="16"/>
          <w:szCs w:val="16"/>
        </w:rPr>
      </w:pPr>
    </w:p>
    <w:p w:rsidR="0004175D" w:rsidRPr="00D943D5" w:rsidRDefault="0004175D" w:rsidP="005822A8">
      <w:pPr>
        <w:pStyle w:val="CoverTitle"/>
      </w:pPr>
      <w:r w:rsidRPr="00D943D5">
        <w:t>Abstract:</w:t>
      </w:r>
    </w:p>
    <w:p w:rsidR="00B43363" w:rsidRDefault="00FF31EA">
      <w:pPr>
        <w:rPr>
          <w:szCs w:val="24"/>
        </w:rPr>
      </w:pPr>
      <w:r w:rsidRPr="00B3586E">
        <w:rPr>
          <w:szCs w:val="24"/>
        </w:rPr>
        <w:t>This report</w:t>
      </w:r>
      <w:r w:rsidR="00E562F4">
        <w:rPr>
          <w:szCs w:val="24"/>
        </w:rPr>
        <w:t xml:space="preserve"> addresses the </w:t>
      </w:r>
      <w:r w:rsidR="00244C7A">
        <w:rPr>
          <w:szCs w:val="24"/>
        </w:rPr>
        <w:t>issues</w:t>
      </w:r>
      <w:r w:rsidR="00E562F4">
        <w:rPr>
          <w:szCs w:val="24"/>
        </w:rPr>
        <w:t xml:space="preserve"> </w:t>
      </w:r>
      <w:r w:rsidR="00237718">
        <w:rPr>
          <w:szCs w:val="24"/>
        </w:rPr>
        <w:t xml:space="preserve">related to the baseline option for cooling of the inner triplets by means of superfluid helium. </w:t>
      </w:r>
      <w:r w:rsidR="00521A60">
        <w:rPr>
          <w:szCs w:val="24"/>
        </w:rPr>
        <w:t>The cooling method is based on a transfer</w:t>
      </w:r>
      <w:r w:rsidR="00237718">
        <w:rPr>
          <w:szCs w:val="24"/>
        </w:rPr>
        <w:t xml:space="preserve"> </w:t>
      </w:r>
      <w:r w:rsidR="00521A60">
        <w:rPr>
          <w:szCs w:val="24"/>
        </w:rPr>
        <w:t>of</w:t>
      </w:r>
      <w:r w:rsidR="00244C7A">
        <w:rPr>
          <w:szCs w:val="24"/>
        </w:rPr>
        <w:t xml:space="preserve"> the proven superfluid helium cooling </w:t>
      </w:r>
      <w:r w:rsidR="00E562F4">
        <w:rPr>
          <w:szCs w:val="24"/>
        </w:rPr>
        <w:t>method</w:t>
      </w:r>
      <w:r w:rsidR="00237718">
        <w:rPr>
          <w:szCs w:val="24"/>
        </w:rPr>
        <w:t>,</w:t>
      </w:r>
      <w:r w:rsidR="00CF318F">
        <w:rPr>
          <w:szCs w:val="24"/>
        </w:rPr>
        <w:t xml:space="preserve"> </w:t>
      </w:r>
      <w:r w:rsidR="00244C7A">
        <w:rPr>
          <w:szCs w:val="24"/>
        </w:rPr>
        <w:t>as used in the present LHC</w:t>
      </w:r>
      <w:r w:rsidR="00237718">
        <w:rPr>
          <w:szCs w:val="24"/>
        </w:rPr>
        <w:t>,</w:t>
      </w:r>
      <w:r w:rsidR="00244C7A">
        <w:rPr>
          <w:szCs w:val="24"/>
        </w:rPr>
        <w:t xml:space="preserve"> to </w:t>
      </w:r>
      <w:r w:rsidR="00CF318F">
        <w:rPr>
          <w:szCs w:val="24"/>
        </w:rPr>
        <w:t xml:space="preserve">the </w:t>
      </w:r>
      <w:proofErr w:type="spellStart"/>
      <w:r w:rsidR="00244C7A">
        <w:rPr>
          <w:szCs w:val="24"/>
        </w:rPr>
        <w:t>HiLumi</w:t>
      </w:r>
      <w:proofErr w:type="spellEnd"/>
      <w:r w:rsidR="00244C7A">
        <w:rPr>
          <w:szCs w:val="24"/>
        </w:rPr>
        <w:t xml:space="preserve"> </w:t>
      </w:r>
      <w:r w:rsidR="00CF318F">
        <w:rPr>
          <w:szCs w:val="24"/>
        </w:rPr>
        <w:t>inner triplet magnets</w:t>
      </w:r>
      <w:r w:rsidR="00CD0E60">
        <w:rPr>
          <w:szCs w:val="24"/>
        </w:rPr>
        <w:t xml:space="preserve">. </w:t>
      </w:r>
      <w:r w:rsidR="007878D3">
        <w:rPr>
          <w:szCs w:val="24"/>
        </w:rPr>
        <w:t xml:space="preserve">The overall cryogenic infrastructure needed is considered similar, but easily scalable from the existing configuration. The focus of the report is </w:t>
      </w:r>
      <w:r w:rsidR="007243B6">
        <w:rPr>
          <w:szCs w:val="24"/>
        </w:rPr>
        <w:t xml:space="preserve">therefore </w:t>
      </w:r>
      <w:r w:rsidR="007878D3">
        <w:rPr>
          <w:szCs w:val="24"/>
        </w:rPr>
        <w:t>primarily on the cryogenic requirements to be imposed on the magnet cold masses</w:t>
      </w:r>
      <w:r w:rsidR="007243B6">
        <w:rPr>
          <w:szCs w:val="24"/>
        </w:rPr>
        <w:t>,</w:t>
      </w:r>
      <w:r w:rsidR="007878D3">
        <w:rPr>
          <w:szCs w:val="24"/>
        </w:rPr>
        <w:t xml:space="preserve"> which are of a new type and which have to handle higher heat loads than</w:t>
      </w:r>
      <w:r w:rsidR="007243B6">
        <w:rPr>
          <w:szCs w:val="24"/>
        </w:rPr>
        <w:t xml:space="preserve"> accustomed</w:t>
      </w:r>
      <w:r w:rsidR="007878D3">
        <w:rPr>
          <w:szCs w:val="24"/>
        </w:rPr>
        <w:t xml:space="preserve">. </w:t>
      </w:r>
      <w:r w:rsidR="00CF318F">
        <w:rPr>
          <w:szCs w:val="24"/>
        </w:rPr>
        <w:t>It is shown that</w:t>
      </w:r>
      <w:r w:rsidR="00237718">
        <w:rPr>
          <w:szCs w:val="24"/>
        </w:rPr>
        <w:t xml:space="preserve"> the requirements are reasonable and </w:t>
      </w:r>
      <w:r w:rsidR="00521A60">
        <w:rPr>
          <w:szCs w:val="24"/>
        </w:rPr>
        <w:t>within the scope of integration in the magnet and cryostat design.</w:t>
      </w:r>
      <w:r w:rsidR="001542FC">
        <w:rPr>
          <w:szCs w:val="24"/>
        </w:rPr>
        <w:t xml:space="preserve"> Areas of further study are </w:t>
      </w:r>
      <w:r w:rsidR="007243B6">
        <w:rPr>
          <w:szCs w:val="24"/>
        </w:rPr>
        <w:t>identified</w:t>
      </w:r>
      <w:r w:rsidR="001542FC">
        <w:rPr>
          <w:szCs w:val="24"/>
        </w:rPr>
        <w:t>.</w:t>
      </w:r>
    </w:p>
    <w:p w:rsidR="000847AD" w:rsidRPr="00D943D5" w:rsidRDefault="00B43363" w:rsidP="000847AD">
      <w:r>
        <w:rPr>
          <w:szCs w:val="24"/>
        </w:rPr>
        <w:br w:type="page"/>
      </w:r>
      <w:bookmarkStart w:id="0" w:name="_Toc482088196"/>
    </w:p>
    <w:p w:rsidR="000847AD" w:rsidRPr="00D943D5" w:rsidRDefault="000847AD" w:rsidP="000847AD">
      <w:pPr>
        <w:pStyle w:val="CopyrightTitle"/>
      </w:pPr>
      <w:r w:rsidRPr="00D943D5">
        <w:lastRenderedPageBreak/>
        <w:t xml:space="preserve">Copyright notice: </w:t>
      </w:r>
    </w:p>
    <w:p w:rsidR="000847AD" w:rsidRPr="00D943D5" w:rsidRDefault="000847AD" w:rsidP="000847AD">
      <w:pPr>
        <w:pStyle w:val="CopyrightText"/>
      </w:pPr>
    </w:p>
    <w:p w:rsidR="000847AD" w:rsidRPr="00D943D5" w:rsidRDefault="000847AD" w:rsidP="000847AD">
      <w:pPr>
        <w:pStyle w:val="CopyrightText"/>
      </w:pPr>
      <w:r w:rsidRPr="00D943D5">
        <w:t xml:space="preserve">Copyright © </w:t>
      </w:r>
      <w:proofErr w:type="spellStart"/>
      <w:r w:rsidR="00F52C9D">
        <w:t>HiLumi</w:t>
      </w:r>
      <w:proofErr w:type="spellEnd"/>
      <w:r w:rsidR="00F52C9D">
        <w:t xml:space="preserve"> LHC</w:t>
      </w:r>
      <w:r w:rsidR="00F52C9D" w:rsidRPr="00A21E90">
        <w:t xml:space="preserve"> </w:t>
      </w:r>
      <w:r w:rsidR="00F52C9D">
        <w:t>Consortium</w:t>
      </w:r>
      <w:r w:rsidRPr="00D943D5">
        <w:t xml:space="preserve">, </w:t>
      </w:r>
      <w:r w:rsidR="00FF31EA">
        <w:t>2014</w:t>
      </w:r>
    </w:p>
    <w:p w:rsidR="00F52C9D" w:rsidRDefault="000847AD" w:rsidP="000847AD">
      <w:pPr>
        <w:pStyle w:val="CopyrightText"/>
      </w:pPr>
      <w:r w:rsidRPr="00D943D5">
        <w:t xml:space="preserve">For more information on </w:t>
      </w:r>
      <w:proofErr w:type="spellStart"/>
      <w:r w:rsidR="00F52C9D">
        <w:t>HiLumi</w:t>
      </w:r>
      <w:proofErr w:type="spellEnd"/>
      <w:r w:rsidR="00F52C9D">
        <w:t xml:space="preserve"> LHC</w:t>
      </w:r>
      <w:r w:rsidRPr="00D943D5">
        <w:t xml:space="preserve">, its partners and contributors please see </w:t>
      </w:r>
      <w:hyperlink r:id="rId12" w:history="1">
        <w:r w:rsidR="00F52C9D" w:rsidRPr="006D172F">
          <w:rPr>
            <w:rStyle w:val="Hyperlink"/>
          </w:rPr>
          <w:t>www.cern.ch/HiLumiLHC</w:t>
        </w:r>
      </w:hyperlink>
    </w:p>
    <w:p w:rsidR="000847AD" w:rsidRPr="00D943D5" w:rsidRDefault="000847AD" w:rsidP="000847AD">
      <w:pPr>
        <w:pStyle w:val="CopyrightText"/>
      </w:pPr>
    </w:p>
    <w:p w:rsidR="000847AD" w:rsidRPr="00D943D5" w:rsidRDefault="000847AD" w:rsidP="000847AD">
      <w:pPr>
        <w:pStyle w:val="CopyrightText"/>
      </w:pPr>
    </w:p>
    <w:p w:rsidR="000847AD" w:rsidRPr="00DC577A" w:rsidRDefault="001731AE" w:rsidP="000847AD">
      <w:pPr>
        <w:pStyle w:val="CopyrightText"/>
      </w:pPr>
      <w:r w:rsidRPr="001731AE">
        <w:t xml:space="preserve">The </w:t>
      </w:r>
      <w:proofErr w:type="spellStart"/>
      <w:r w:rsidRPr="001731AE">
        <w:t>HiLumi</w:t>
      </w:r>
      <w:proofErr w:type="spellEnd"/>
      <w:r w:rsidRPr="001731AE">
        <w:t xml:space="preserve"> LHC Design Study is included in the High Luminosity LHC </w:t>
      </w:r>
      <w:r w:rsidR="0056418D">
        <w:t>project</w:t>
      </w:r>
      <w:r w:rsidRPr="001731AE">
        <w:t xml:space="preserve"> and is partly funded by the European Commission within the Framework Programme 7 Capacities Specific Programme, Grant Agreement 284404</w:t>
      </w:r>
      <w:r>
        <w:t>.</w:t>
      </w:r>
      <w:r w:rsidR="000847AD" w:rsidRPr="00D943D5">
        <w:t xml:space="preserve"> </w:t>
      </w:r>
      <w:proofErr w:type="spellStart"/>
      <w:r w:rsidR="004A0E8A">
        <w:t>HiLumi</w:t>
      </w:r>
      <w:proofErr w:type="spellEnd"/>
      <w:r w:rsidR="004A0E8A">
        <w:t xml:space="preserve"> LHC</w:t>
      </w:r>
      <w:r w:rsidR="000847AD" w:rsidRPr="00D943D5">
        <w:t xml:space="preserve"> began in </w:t>
      </w:r>
      <w:r w:rsidR="004A0E8A">
        <w:t>November</w:t>
      </w:r>
      <w:r w:rsidR="00CD2B0C">
        <w:t xml:space="preserve"> 2011</w:t>
      </w:r>
      <w:r w:rsidR="000847AD" w:rsidRPr="00D943D5">
        <w:t xml:space="preserve"> and will run for 4 years.</w:t>
      </w:r>
      <w:r w:rsidR="00DC577A" w:rsidRPr="00DC577A">
        <w:t xml:space="preserve"> </w:t>
      </w:r>
    </w:p>
    <w:p w:rsidR="000847AD" w:rsidRPr="00D943D5" w:rsidRDefault="000847AD" w:rsidP="000847AD">
      <w:pPr>
        <w:pStyle w:val="CopyrightText"/>
      </w:pPr>
    </w:p>
    <w:p w:rsidR="000847AD" w:rsidRPr="00D943D5" w:rsidRDefault="00DC577A" w:rsidP="000847AD">
      <w:pPr>
        <w:pStyle w:val="CopyrightText"/>
      </w:pPr>
      <w:r w:rsidRPr="00DC577A">
        <w:t>The information herein only reflects the views of its authors and not those of the European Commission and no warranty expressed or implied is made with regard to such information or its use</w:t>
      </w:r>
      <w:r w:rsidR="000847AD" w:rsidRPr="00D943D5">
        <w:t xml:space="preserve">. </w:t>
      </w:r>
    </w:p>
    <w:p w:rsidR="000847AD" w:rsidRPr="00D943D5" w:rsidRDefault="000847AD" w:rsidP="000847AD"/>
    <w:p w:rsidR="000847AD" w:rsidRPr="00D943D5" w:rsidRDefault="000847AD" w:rsidP="000847AD"/>
    <w:p w:rsidR="004B1FB4" w:rsidRPr="00D943D5" w:rsidRDefault="007C18F4" w:rsidP="007C18F4">
      <w:pPr>
        <w:pStyle w:val="CenteredTitle"/>
      </w:pPr>
      <w:r w:rsidRPr="00D943D5">
        <w:t>Delivery Slip</w:t>
      </w:r>
    </w:p>
    <w:tbl>
      <w:tblPr>
        <w:tblW w:w="9090" w:type="dxa"/>
        <w:tblInd w:w="70"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4620"/>
        <w:gridCol w:w="1500"/>
        <w:gridCol w:w="1350"/>
      </w:tblGrid>
      <w:tr w:rsidR="007C18F4" w:rsidRPr="00D943D5" w:rsidTr="00DC577A">
        <w:trPr>
          <w:cantSplit/>
          <w:trHeight w:val="336"/>
        </w:trPr>
        <w:tc>
          <w:tcPr>
            <w:tcW w:w="1620" w:type="dxa"/>
            <w:tcBorders>
              <w:top w:val="single" w:sz="4" w:space="0" w:color="auto"/>
              <w:left w:val="single" w:sz="4" w:space="0" w:color="auto"/>
              <w:bottom w:val="single" w:sz="4" w:space="0" w:color="auto"/>
            </w:tcBorders>
            <w:shd w:val="pct10" w:color="auto" w:fill="FFFFFF"/>
          </w:tcPr>
          <w:p w:rsidR="007C18F4" w:rsidRPr="00D943D5" w:rsidRDefault="007C18F4" w:rsidP="0020301F">
            <w:pPr>
              <w:pStyle w:val="CoverTitle"/>
            </w:pPr>
          </w:p>
        </w:tc>
        <w:tc>
          <w:tcPr>
            <w:tcW w:w="4620" w:type="dxa"/>
            <w:tcBorders>
              <w:top w:val="single" w:sz="4" w:space="0" w:color="auto"/>
              <w:bottom w:val="single" w:sz="4" w:space="0" w:color="auto"/>
            </w:tcBorders>
            <w:shd w:val="pct10" w:color="auto" w:fill="FFFFFF"/>
          </w:tcPr>
          <w:p w:rsidR="007C18F4" w:rsidRPr="00D943D5" w:rsidRDefault="007C18F4" w:rsidP="0020301F">
            <w:pPr>
              <w:pStyle w:val="CoverTitle"/>
            </w:pPr>
            <w:r w:rsidRPr="00D943D5">
              <w:t>Name</w:t>
            </w:r>
          </w:p>
        </w:tc>
        <w:tc>
          <w:tcPr>
            <w:tcW w:w="1500" w:type="dxa"/>
            <w:tcBorders>
              <w:top w:val="single" w:sz="4" w:space="0" w:color="auto"/>
              <w:bottom w:val="single" w:sz="4" w:space="0" w:color="auto"/>
            </w:tcBorders>
            <w:shd w:val="pct10" w:color="auto" w:fill="FFFFFF"/>
          </w:tcPr>
          <w:p w:rsidR="007C18F4" w:rsidRPr="00D943D5" w:rsidRDefault="007C18F4" w:rsidP="0020301F">
            <w:pPr>
              <w:pStyle w:val="CoverTitle"/>
            </w:pPr>
            <w:r w:rsidRPr="00D943D5">
              <w:t>Partner</w:t>
            </w:r>
          </w:p>
        </w:tc>
        <w:tc>
          <w:tcPr>
            <w:tcW w:w="1350" w:type="dxa"/>
            <w:tcBorders>
              <w:top w:val="single" w:sz="4" w:space="0" w:color="auto"/>
              <w:bottom w:val="single" w:sz="4" w:space="0" w:color="auto"/>
              <w:right w:val="single" w:sz="4" w:space="0" w:color="auto"/>
            </w:tcBorders>
            <w:shd w:val="pct10" w:color="auto" w:fill="FFFFFF"/>
          </w:tcPr>
          <w:p w:rsidR="007C18F4" w:rsidRPr="00D943D5" w:rsidRDefault="007C18F4" w:rsidP="0020301F">
            <w:pPr>
              <w:pStyle w:val="CoverTitle"/>
            </w:pPr>
            <w:r w:rsidRPr="00D943D5">
              <w:t>Date</w:t>
            </w:r>
          </w:p>
        </w:tc>
      </w:tr>
      <w:tr w:rsidR="007C18F4" w:rsidRPr="00D943D5" w:rsidTr="00DC577A">
        <w:trPr>
          <w:cantSplit/>
          <w:trHeight w:val="227"/>
        </w:trPr>
        <w:tc>
          <w:tcPr>
            <w:tcW w:w="1620" w:type="dxa"/>
            <w:tcBorders>
              <w:top w:val="single" w:sz="4" w:space="0" w:color="auto"/>
              <w:left w:val="single" w:sz="4" w:space="0" w:color="auto"/>
              <w:bottom w:val="single" w:sz="4" w:space="0" w:color="auto"/>
              <w:right w:val="single" w:sz="4" w:space="0" w:color="auto"/>
            </w:tcBorders>
            <w:vAlign w:val="center"/>
          </w:tcPr>
          <w:p w:rsidR="007C18F4" w:rsidRPr="00D943D5" w:rsidRDefault="007C18F4" w:rsidP="007C18F4">
            <w:pPr>
              <w:pStyle w:val="CoverTitle"/>
            </w:pPr>
            <w:r w:rsidRPr="00D943D5">
              <w:t>Authored by</w:t>
            </w:r>
          </w:p>
        </w:tc>
        <w:tc>
          <w:tcPr>
            <w:tcW w:w="4620" w:type="dxa"/>
            <w:tcBorders>
              <w:top w:val="single" w:sz="4" w:space="0" w:color="auto"/>
              <w:left w:val="single" w:sz="4" w:space="0" w:color="auto"/>
              <w:bottom w:val="single" w:sz="4" w:space="0" w:color="auto"/>
              <w:right w:val="single" w:sz="4" w:space="0" w:color="auto"/>
            </w:tcBorders>
            <w:vAlign w:val="center"/>
          </w:tcPr>
          <w:p w:rsidR="007C18F4" w:rsidRPr="00705918" w:rsidRDefault="00CE2C0E" w:rsidP="000847AD">
            <w:pPr>
              <w:jc w:val="left"/>
              <w:rPr>
                <w:lang w:val="de-CH"/>
              </w:rPr>
            </w:pPr>
            <w:r w:rsidRPr="00705918">
              <w:rPr>
                <w:lang w:val="de-CH"/>
              </w:rPr>
              <w:t>R. van Weelderen</w:t>
            </w:r>
            <w:r w:rsidR="007243B6" w:rsidRPr="00705918">
              <w:rPr>
                <w:lang w:val="de-CH"/>
              </w:rPr>
              <w:t>, G. Bozza</w:t>
            </w:r>
          </w:p>
        </w:tc>
        <w:tc>
          <w:tcPr>
            <w:tcW w:w="1500" w:type="dxa"/>
            <w:tcBorders>
              <w:top w:val="single" w:sz="4" w:space="0" w:color="auto"/>
              <w:left w:val="single" w:sz="4" w:space="0" w:color="auto"/>
              <w:bottom w:val="single" w:sz="4" w:space="0" w:color="auto"/>
              <w:right w:val="single" w:sz="4" w:space="0" w:color="auto"/>
            </w:tcBorders>
            <w:vAlign w:val="center"/>
          </w:tcPr>
          <w:p w:rsidR="007C18F4" w:rsidRPr="001D3C2B" w:rsidRDefault="00FF31EA" w:rsidP="00FF31EA">
            <w:r w:rsidRPr="001D3C2B">
              <w:t>CERN</w:t>
            </w:r>
          </w:p>
        </w:tc>
        <w:tc>
          <w:tcPr>
            <w:tcW w:w="1350" w:type="dxa"/>
            <w:tcBorders>
              <w:top w:val="single" w:sz="4" w:space="0" w:color="auto"/>
              <w:left w:val="single" w:sz="4" w:space="0" w:color="auto"/>
              <w:bottom w:val="single" w:sz="4" w:space="0" w:color="auto"/>
              <w:right w:val="single" w:sz="4" w:space="0" w:color="auto"/>
            </w:tcBorders>
            <w:vAlign w:val="center"/>
          </w:tcPr>
          <w:p w:rsidR="007C18F4" w:rsidRPr="001D3C2B" w:rsidRDefault="004819A9" w:rsidP="0020301F">
            <w:r>
              <w:t>07</w:t>
            </w:r>
            <w:r w:rsidR="00521A60">
              <w:t>/11</w:t>
            </w:r>
            <w:r w:rsidR="001D3C2B" w:rsidRPr="001D3C2B">
              <w:t>/2014</w:t>
            </w:r>
          </w:p>
        </w:tc>
      </w:tr>
      <w:tr w:rsidR="00E3654A" w:rsidRPr="00D943D5" w:rsidTr="00DC577A">
        <w:trPr>
          <w:cantSplit/>
        </w:trPr>
        <w:tc>
          <w:tcPr>
            <w:tcW w:w="1620" w:type="dxa"/>
            <w:tcBorders>
              <w:top w:val="single" w:sz="4" w:space="0" w:color="auto"/>
              <w:left w:val="single" w:sz="4" w:space="0" w:color="auto"/>
              <w:bottom w:val="single" w:sz="4" w:space="0" w:color="auto"/>
              <w:right w:val="single" w:sz="4" w:space="0" w:color="auto"/>
            </w:tcBorders>
            <w:vAlign w:val="center"/>
          </w:tcPr>
          <w:p w:rsidR="00E3654A" w:rsidRPr="00D943D5" w:rsidRDefault="00E3654A" w:rsidP="007C18F4">
            <w:pPr>
              <w:pStyle w:val="CoverTitle"/>
            </w:pPr>
            <w:r w:rsidRPr="00D943D5">
              <w:t>Edited by</w:t>
            </w:r>
          </w:p>
        </w:tc>
        <w:tc>
          <w:tcPr>
            <w:tcW w:w="4620" w:type="dxa"/>
            <w:tcBorders>
              <w:top w:val="single" w:sz="4" w:space="0" w:color="auto"/>
              <w:left w:val="single" w:sz="4" w:space="0" w:color="auto"/>
              <w:bottom w:val="single" w:sz="4" w:space="0" w:color="auto"/>
              <w:right w:val="single" w:sz="4" w:space="0" w:color="auto"/>
            </w:tcBorders>
            <w:vAlign w:val="center"/>
          </w:tcPr>
          <w:p w:rsidR="00E3654A" w:rsidRPr="001D3C2B" w:rsidRDefault="00CE2C0E" w:rsidP="000847AD">
            <w:pPr>
              <w:jc w:val="left"/>
            </w:pPr>
            <w:r>
              <w:t>R. van Weelderen</w:t>
            </w:r>
          </w:p>
        </w:tc>
        <w:tc>
          <w:tcPr>
            <w:tcW w:w="1500" w:type="dxa"/>
            <w:tcBorders>
              <w:top w:val="single" w:sz="4" w:space="0" w:color="auto"/>
              <w:left w:val="single" w:sz="4" w:space="0" w:color="auto"/>
              <w:bottom w:val="single" w:sz="4" w:space="0" w:color="auto"/>
              <w:right w:val="single" w:sz="4" w:space="0" w:color="auto"/>
            </w:tcBorders>
            <w:vAlign w:val="center"/>
          </w:tcPr>
          <w:p w:rsidR="00E3654A" w:rsidRPr="001D3C2B" w:rsidRDefault="00FF31EA" w:rsidP="0020301F">
            <w:r w:rsidRPr="001D3C2B">
              <w:t>CERN</w:t>
            </w:r>
          </w:p>
        </w:tc>
        <w:tc>
          <w:tcPr>
            <w:tcW w:w="1350" w:type="dxa"/>
            <w:tcBorders>
              <w:top w:val="single" w:sz="4" w:space="0" w:color="auto"/>
              <w:left w:val="single" w:sz="4" w:space="0" w:color="auto"/>
              <w:bottom w:val="single" w:sz="4" w:space="0" w:color="auto"/>
              <w:right w:val="single" w:sz="4" w:space="0" w:color="auto"/>
            </w:tcBorders>
            <w:vAlign w:val="center"/>
          </w:tcPr>
          <w:p w:rsidR="00E3654A" w:rsidRPr="001D3C2B" w:rsidRDefault="004819A9" w:rsidP="0020301F">
            <w:r>
              <w:t>07</w:t>
            </w:r>
            <w:r w:rsidR="00521A60">
              <w:t>/11</w:t>
            </w:r>
            <w:r w:rsidR="001D3C2B" w:rsidRPr="001D3C2B">
              <w:t>/2014</w:t>
            </w:r>
          </w:p>
        </w:tc>
      </w:tr>
      <w:tr w:rsidR="007C18F4" w:rsidRPr="00D943D5" w:rsidTr="003574E7">
        <w:trPr>
          <w:cantSplit/>
        </w:trPr>
        <w:tc>
          <w:tcPr>
            <w:tcW w:w="1620" w:type="dxa"/>
            <w:tcBorders>
              <w:top w:val="single" w:sz="4" w:space="0" w:color="auto"/>
              <w:left w:val="single" w:sz="4" w:space="0" w:color="auto"/>
              <w:bottom w:val="single" w:sz="4" w:space="0" w:color="auto"/>
              <w:right w:val="single" w:sz="4" w:space="0" w:color="auto"/>
            </w:tcBorders>
            <w:vAlign w:val="center"/>
          </w:tcPr>
          <w:p w:rsidR="007C18F4" w:rsidRPr="00D943D5" w:rsidRDefault="007C18F4" w:rsidP="007C18F4">
            <w:pPr>
              <w:pStyle w:val="CoverTitle"/>
            </w:pPr>
            <w:r w:rsidRPr="00D943D5">
              <w:t>Reviewed by</w:t>
            </w:r>
          </w:p>
        </w:tc>
        <w:tc>
          <w:tcPr>
            <w:tcW w:w="4620" w:type="dxa"/>
            <w:tcBorders>
              <w:top w:val="single" w:sz="4" w:space="0" w:color="auto"/>
              <w:left w:val="single" w:sz="4" w:space="0" w:color="auto"/>
              <w:bottom w:val="single" w:sz="4" w:space="0" w:color="auto"/>
              <w:right w:val="single" w:sz="4" w:space="0" w:color="auto"/>
            </w:tcBorders>
            <w:vAlign w:val="center"/>
          </w:tcPr>
          <w:p w:rsidR="004B1FB4" w:rsidRPr="001D3C2B" w:rsidRDefault="00CE2C0E" w:rsidP="000847AD">
            <w:pPr>
              <w:jc w:val="left"/>
            </w:pPr>
            <w:r>
              <w:t xml:space="preserve">L. Tavian, S. Claudet, </w:t>
            </w:r>
            <w:r w:rsidR="00FF31EA" w:rsidRPr="001D3C2B">
              <w:t>L. Rossi</w:t>
            </w:r>
            <w:r>
              <w:t>, E. Todesco</w:t>
            </w:r>
          </w:p>
        </w:tc>
        <w:tc>
          <w:tcPr>
            <w:tcW w:w="1500" w:type="dxa"/>
            <w:tcBorders>
              <w:top w:val="single" w:sz="4" w:space="0" w:color="auto"/>
              <w:left w:val="single" w:sz="4" w:space="0" w:color="auto"/>
              <w:bottom w:val="single" w:sz="4" w:space="0" w:color="auto"/>
              <w:right w:val="single" w:sz="4" w:space="0" w:color="auto"/>
            </w:tcBorders>
            <w:vAlign w:val="center"/>
          </w:tcPr>
          <w:p w:rsidR="00DC577A" w:rsidRPr="001D3C2B" w:rsidRDefault="00FF31EA" w:rsidP="0020301F">
            <w:r w:rsidRPr="001D3C2B">
              <w:t>CERN</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7C18F4" w:rsidRPr="00D943D5" w:rsidRDefault="00521A60" w:rsidP="0020301F">
            <w:pPr>
              <w:rPr>
                <w:highlight w:val="cyan"/>
              </w:rPr>
            </w:pPr>
            <w:r>
              <w:t>xx/11</w:t>
            </w:r>
            <w:r w:rsidR="003F6EE1">
              <w:t>/</w:t>
            </w:r>
            <w:r w:rsidR="00D1234B" w:rsidRPr="00D1234B">
              <w:t>2014</w:t>
            </w:r>
          </w:p>
        </w:tc>
      </w:tr>
      <w:tr w:rsidR="007C18F4" w:rsidRPr="00D943D5" w:rsidTr="00DC577A">
        <w:trPr>
          <w:cantSplit/>
        </w:trPr>
        <w:tc>
          <w:tcPr>
            <w:tcW w:w="1620" w:type="dxa"/>
            <w:tcBorders>
              <w:top w:val="single" w:sz="4" w:space="0" w:color="auto"/>
              <w:left w:val="single" w:sz="4" w:space="0" w:color="auto"/>
              <w:bottom w:val="single" w:sz="4" w:space="0" w:color="auto"/>
              <w:right w:val="single" w:sz="4" w:space="0" w:color="auto"/>
            </w:tcBorders>
            <w:vAlign w:val="center"/>
          </w:tcPr>
          <w:p w:rsidR="007C18F4" w:rsidRPr="00D943D5" w:rsidRDefault="007C18F4" w:rsidP="007C18F4">
            <w:pPr>
              <w:pStyle w:val="CoverTitle"/>
            </w:pPr>
            <w:r w:rsidRPr="00D943D5">
              <w:t>Approved by</w:t>
            </w:r>
          </w:p>
        </w:tc>
        <w:tc>
          <w:tcPr>
            <w:tcW w:w="4620" w:type="dxa"/>
            <w:tcBorders>
              <w:top w:val="single" w:sz="4" w:space="0" w:color="auto"/>
              <w:left w:val="single" w:sz="4" w:space="0" w:color="auto"/>
              <w:bottom w:val="single" w:sz="4" w:space="0" w:color="auto"/>
              <w:right w:val="single" w:sz="4" w:space="0" w:color="auto"/>
            </w:tcBorders>
            <w:vAlign w:val="center"/>
          </w:tcPr>
          <w:p w:rsidR="007C18F4" w:rsidRPr="00D943D5" w:rsidRDefault="007C18F4" w:rsidP="000847AD">
            <w:pPr>
              <w:jc w:val="left"/>
            </w:pPr>
            <w:r w:rsidRPr="00D943D5">
              <w:t>Steering Committee</w:t>
            </w:r>
          </w:p>
        </w:tc>
        <w:tc>
          <w:tcPr>
            <w:tcW w:w="1500" w:type="dxa"/>
            <w:tcBorders>
              <w:top w:val="single" w:sz="4" w:space="0" w:color="auto"/>
              <w:left w:val="single" w:sz="4" w:space="0" w:color="auto"/>
              <w:bottom w:val="single" w:sz="4" w:space="0" w:color="auto"/>
              <w:right w:val="single" w:sz="4" w:space="0" w:color="auto"/>
            </w:tcBorders>
            <w:shd w:val="pct10" w:color="auto" w:fill="auto"/>
            <w:vAlign w:val="center"/>
          </w:tcPr>
          <w:p w:rsidR="007C18F4" w:rsidRPr="00D943D5" w:rsidRDefault="007C18F4" w:rsidP="0020301F"/>
        </w:tc>
        <w:tc>
          <w:tcPr>
            <w:tcW w:w="1350" w:type="dxa"/>
            <w:tcBorders>
              <w:top w:val="single" w:sz="4" w:space="0" w:color="auto"/>
              <w:left w:val="single" w:sz="4" w:space="0" w:color="auto"/>
              <w:bottom w:val="single" w:sz="4" w:space="0" w:color="auto"/>
              <w:right w:val="single" w:sz="4" w:space="0" w:color="auto"/>
            </w:tcBorders>
            <w:vAlign w:val="center"/>
          </w:tcPr>
          <w:p w:rsidR="007C18F4" w:rsidRPr="00D943D5" w:rsidRDefault="00D943D5" w:rsidP="0020301F">
            <w:proofErr w:type="spellStart"/>
            <w:r w:rsidRPr="00D943D5">
              <w:rPr>
                <w:highlight w:val="cyan"/>
              </w:rPr>
              <w:t>dd</w:t>
            </w:r>
            <w:proofErr w:type="spellEnd"/>
            <w:r w:rsidRPr="00D943D5">
              <w:rPr>
                <w:highlight w:val="cyan"/>
              </w:rPr>
              <w:t>/mm/</w:t>
            </w:r>
            <w:proofErr w:type="spellStart"/>
            <w:r w:rsidRPr="00D943D5">
              <w:rPr>
                <w:highlight w:val="cyan"/>
              </w:rPr>
              <w:t>yy</w:t>
            </w:r>
            <w:proofErr w:type="spellEnd"/>
          </w:p>
        </w:tc>
      </w:tr>
    </w:tbl>
    <w:p w:rsidR="004B1FB4" w:rsidRPr="00D943D5" w:rsidRDefault="004B1FB4" w:rsidP="005822A8"/>
    <w:p w:rsidR="005822A8" w:rsidRPr="00D943D5" w:rsidRDefault="004B1FB4" w:rsidP="005822A8">
      <w:pPr>
        <w:pStyle w:val="CenteredTitle"/>
      </w:pPr>
      <w:r w:rsidRPr="00D943D5">
        <w:br w:type="page"/>
      </w:r>
      <w:r w:rsidR="005822A8" w:rsidRPr="00D943D5">
        <w:lastRenderedPageBreak/>
        <w:t>TABLE OF CONTENTS</w:t>
      </w:r>
    </w:p>
    <w:p w:rsidR="00571A66" w:rsidRDefault="004B1FB4">
      <w:pPr>
        <w:pStyle w:val="TOC1"/>
        <w:rPr>
          <w:rFonts w:asciiTheme="minorHAnsi" w:eastAsiaTheme="minorEastAsia" w:hAnsiTheme="minorHAnsi" w:cstheme="minorBidi"/>
          <w:b w:val="0"/>
          <w:caps w:val="0"/>
          <w:noProof/>
          <w:sz w:val="22"/>
          <w:szCs w:val="22"/>
          <w:lang w:eastAsia="en-GB"/>
        </w:rPr>
      </w:pPr>
      <w:r w:rsidRPr="00D943D5">
        <w:rPr>
          <w:sz w:val="24"/>
        </w:rPr>
        <w:fldChar w:fldCharType="begin"/>
      </w:r>
      <w:r w:rsidRPr="00D943D5">
        <w:rPr>
          <w:sz w:val="24"/>
        </w:rPr>
        <w:instrText xml:space="preserve"> TOC \o "1-3" </w:instrText>
      </w:r>
      <w:r w:rsidRPr="00D943D5">
        <w:rPr>
          <w:sz w:val="24"/>
        </w:rPr>
        <w:fldChar w:fldCharType="separate"/>
      </w:r>
      <w:r w:rsidR="00571A66" w:rsidRPr="00D764BE">
        <w:rPr>
          <w:noProof/>
          <w:lang w:val="en-US"/>
        </w:rPr>
        <w:t>1.</w:t>
      </w:r>
      <w:r w:rsidR="00571A66">
        <w:rPr>
          <w:rFonts w:asciiTheme="minorHAnsi" w:eastAsiaTheme="minorEastAsia" w:hAnsiTheme="minorHAnsi" w:cstheme="minorBidi"/>
          <w:b w:val="0"/>
          <w:caps w:val="0"/>
          <w:noProof/>
          <w:sz w:val="22"/>
          <w:szCs w:val="22"/>
          <w:lang w:eastAsia="en-GB"/>
        </w:rPr>
        <w:tab/>
      </w:r>
      <w:r w:rsidR="00571A66">
        <w:rPr>
          <w:noProof/>
        </w:rPr>
        <w:t>Introduction</w:t>
      </w:r>
      <w:r w:rsidR="00571A66">
        <w:rPr>
          <w:noProof/>
        </w:rPr>
        <w:tab/>
      </w:r>
      <w:r w:rsidR="00571A66">
        <w:rPr>
          <w:noProof/>
        </w:rPr>
        <w:fldChar w:fldCharType="begin"/>
      </w:r>
      <w:r w:rsidR="00571A66">
        <w:rPr>
          <w:noProof/>
        </w:rPr>
        <w:instrText xml:space="preserve"> PAGEREF _Toc403140420 \h </w:instrText>
      </w:r>
      <w:r w:rsidR="00571A66">
        <w:rPr>
          <w:noProof/>
        </w:rPr>
      </w:r>
      <w:r w:rsidR="00571A66">
        <w:rPr>
          <w:noProof/>
        </w:rPr>
        <w:fldChar w:fldCharType="separate"/>
      </w:r>
      <w:r w:rsidR="00571A66">
        <w:rPr>
          <w:noProof/>
        </w:rPr>
        <w:t>3</w:t>
      </w:r>
      <w:r w:rsidR="00571A66">
        <w:rPr>
          <w:noProof/>
        </w:rPr>
        <w:fldChar w:fldCharType="end"/>
      </w:r>
    </w:p>
    <w:p w:rsidR="00571A66" w:rsidRDefault="00571A66">
      <w:pPr>
        <w:pStyle w:val="TOC1"/>
        <w:rPr>
          <w:rFonts w:asciiTheme="minorHAnsi" w:eastAsiaTheme="minorEastAsia" w:hAnsiTheme="minorHAnsi" w:cstheme="minorBidi"/>
          <w:b w:val="0"/>
          <w:caps w:val="0"/>
          <w:noProof/>
          <w:sz w:val="22"/>
          <w:szCs w:val="22"/>
          <w:lang w:eastAsia="en-GB"/>
        </w:rPr>
      </w:pPr>
      <w:r w:rsidRPr="00D764BE">
        <w:rPr>
          <w:noProof/>
          <w:lang w:val="en-US"/>
        </w:rPr>
        <w:t>2.</w:t>
      </w:r>
      <w:r>
        <w:rPr>
          <w:rFonts w:asciiTheme="minorHAnsi" w:eastAsiaTheme="minorEastAsia" w:hAnsiTheme="minorHAnsi" w:cstheme="minorBidi"/>
          <w:b w:val="0"/>
          <w:caps w:val="0"/>
          <w:noProof/>
          <w:sz w:val="22"/>
          <w:szCs w:val="22"/>
          <w:lang w:eastAsia="en-GB"/>
        </w:rPr>
        <w:tab/>
      </w:r>
      <w:r>
        <w:rPr>
          <w:noProof/>
        </w:rPr>
        <w:t>Description of the Inner triplet magnets</w:t>
      </w:r>
      <w:r>
        <w:rPr>
          <w:noProof/>
        </w:rPr>
        <w:tab/>
      </w:r>
      <w:r>
        <w:rPr>
          <w:noProof/>
        </w:rPr>
        <w:fldChar w:fldCharType="begin"/>
      </w:r>
      <w:r>
        <w:rPr>
          <w:noProof/>
        </w:rPr>
        <w:instrText xml:space="preserve"> PAGEREF _Toc403140421 \h </w:instrText>
      </w:r>
      <w:r>
        <w:rPr>
          <w:noProof/>
        </w:rPr>
      </w:r>
      <w:r>
        <w:rPr>
          <w:noProof/>
        </w:rPr>
        <w:fldChar w:fldCharType="separate"/>
      </w:r>
      <w:r>
        <w:rPr>
          <w:noProof/>
        </w:rPr>
        <w:t>3</w:t>
      </w:r>
      <w:r>
        <w:rPr>
          <w:noProof/>
        </w:rPr>
        <w:fldChar w:fldCharType="end"/>
      </w:r>
    </w:p>
    <w:p w:rsidR="00571A66" w:rsidRDefault="00571A66">
      <w:pPr>
        <w:pStyle w:val="TOC1"/>
        <w:rPr>
          <w:rFonts w:asciiTheme="minorHAnsi" w:eastAsiaTheme="minorEastAsia" w:hAnsiTheme="minorHAnsi" w:cstheme="minorBidi"/>
          <w:b w:val="0"/>
          <w:caps w:val="0"/>
          <w:noProof/>
          <w:sz w:val="22"/>
          <w:szCs w:val="22"/>
          <w:lang w:eastAsia="en-GB"/>
        </w:rPr>
      </w:pPr>
      <w:r w:rsidRPr="00D764BE">
        <w:rPr>
          <w:noProof/>
          <w:lang w:val="en-US"/>
        </w:rPr>
        <w:t>3.</w:t>
      </w:r>
      <w:r>
        <w:rPr>
          <w:rFonts w:asciiTheme="minorHAnsi" w:eastAsiaTheme="minorEastAsia" w:hAnsiTheme="minorHAnsi" w:cstheme="minorBidi"/>
          <w:b w:val="0"/>
          <w:caps w:val="0"/>
          <w:noProof/>
          <w:sz w:val="22"/>
          <w:szCs w:val="22"/>
          <w:lang w:eastAsia="en-GB"/>
        </w:rPr>
        <w:tab/>
      </w:r>
      <w:r>
        <w:rPr>
          <w:noProof/>
        </w:rPr>
        <w:t>Cooling by superfluid helium: MAIN - longitudinal -Heat extraction</w:t>
      </w:r>
      <w:r>
        <w:rPr>
          <w:noProof/>
        </w:rPr>
        <w:tab/>
      </w:r>
      <w:r>
        <w:rPr>
          <w:noProof/>
        </w:rPr>
        <w:fldChar w:fldCharType="begin"/>
      </w:r>
      <w:r>
        <w:rPr>
          <w:noProof/>
        </w:rPr>
        <w:instrText xml:space="preserve"> PAGEREF _Toc403140422 \h </w:instrText>
      </w:r>
      <w:r>
        <w:rPr>
          <w:noProof/>
        </w:rPr>
      </w:r>
      <w:r>
        <w:rPr>
          <w:noProof/>
        </w:rPr>
        <w:fldChar w:fldCharType="separate"/>
      </w:r>
      <w:r>
        <w:rPr>
          <w:noProof/>
        </w:rPr>
        <w:t>4</w:t>
      </w:r>
      <w:r>
        <w:rPr>
          <w:noProof/>
        </w:rPr>
        <w:fldChar w:fldCharType="end"/>
      </w:r>
    </w:p>
    <w:p w:rsidR="00571A66" w:rsidRDefault="00571A66">
      <w:pPr>
        <w:pStyle w:val="TOC1"/>
        <w:rPr>
          <w:rFonts w:asciiTheme="minorHAnsi" w:eastAsiaTheme="minorEastAsia" w:hAnsiTheme="minorHAnsi" w:cstheme="minorBidi"/>
          <w:b w:val="0"/>
          <w:caps w:val="0"/>
          <w:noProof/>
          <w:sz w:val="22"/>
          <w:szCs w:val="22"/>
          <w:lang w:eastAsia="en-GB"/>
        </w:rPr>
      </w:pPr>
      <w:r w:rsidRPr="00D764BE">
        <w:rPr>
          <w:noProof/>
          <w:lang w:val="en-US"/>
        </w:rPr>
        <w:t>4.</w:t>
      </w:r>
      <w:r>
        <w:rPr>
          <w:rFonts w:asciiTheme="minorHAnsi" w:eastAsiaTheme="minorEastAsia" w:hAnsiTheme="minorHAnsi" w:cstheme="minorBidi"/>
          <w:b w:val="0"/>
          <w:caps w:val="0"/>
          <w:noProof/>
          <w:sz w:val="22"/>
          <w:szCs w:val="22"/>
          <w:lang w:eastAsia="en-GB"/>
        </w:rPr>
        <w:tab/>
      </w:r>
      <w:r>
        <w:rPr>
          <w:noProof/>
        </w:rPr>
        <w:t>Cooling by superfluid helium: radial extraction</w:t>
      </w:r>
      <w:r>
        <w:rPr>
          <w:noProof/>
        </w:rPr>
        <w:tab/>
      </w:r>
      <w:r>
        <w:rPr>
          <w:noProof/>
        </w:rPr>
        <w:fldChar w:fldCharType="begin"/>
      </w:r>
      <w:r>
        <w:rPr>
          <w:noProof/>
        </w:rPr>
        <w:instrText xml:space="preserve"> PAGEREF _Toc403140423 \h </w:instrText>
      </w:r>
      <w:r>
        <w:rPr>
          <w:noProof/>
        </w:rPr>
      </w:r>
      <w:r>
        <w:rPr>
          <w:noProof/>
        </w:rPr>
        <w:fldChar w:fldCharType="separate"/>
      </w:r>
      <w:r>
        <w:rPr>
          <w:noProof/>
        </w:rPr>
        <w:t>5</w:t>
      </w:r>
      <w:r>
        <w:rPr>
          <w:noProof/>
        </w:rPr>
        <w:fldChar w:fldCharType="end"/>
      </w:r>
    </w:p>
    <w:p w:rsidR="00571A66" w:rsidRDefault="00571A66">
      <w:pPr>
        <w:pStyle w:val="TOC1"/>
        <w:rPr>
          <w:rFonts w:asciiTheme="minorHAnsi" w:eastAsiaTheme="minorEastAsia" w:hAnsiTheme="minorHAnsi" w:cstheme="minorBidi"/>
          <w:b w:val="0"/>
          <w:caps w:val="0"/>
          <w:noProof/>
          <w:sz w:val="22"/>
          <w:szCs w:val="22"/>
          <w:lang w:eastAsia="en-GB"/>
        </w:rPr>
      </w:pPr>
      <w:r w:rsidRPr="00D764BE">
        <w:rPr>
          <w:noProof/>
          <w:lang w:val="en-US" w:eastAsia="en-US"/>
        </w:rPr>
        <w:t>5.</w:t>
      </w:r>
      <w:r>
        <w:rPr>
          <w:rFonts w:asciiTheme="minorHAnsi" w:eastAsiaTheme="minorEastAsia" w:hAnsiTheme="minorHAnsi" w:cstheme="minorBidi"/>
          <w:b w:val="0"/>
          <w:caps w:val="0"/>
          <w:noProof/>
          <w:sz w:val="22"/>
          <w:szCs w:val="22"/>
          <w:lang w:eastAsia="en-GB"/>
        </w:rPr>
        <w:tab/>
      </w:r>
      <w:r>
        <w:rPr>
          <w:noProof/>
          <w:lang w:eastAsia="en-US"/>
        </w:rPr>
        <w:t>Conclusions</w:t>
      </w:r>
      <w:r>
        <w:rPr>
          <w:noProof/>
        </w:rPr>
        <w:tab/>
      </w:r>
      <w:r>
        <w:rPr>
          <w:noProof/>
        </w:rPr>
        <w:fldChar w:fldCharType="begin"/>
      </w:r>
      <w:r>
        <w:rPr>
          <w:noProof/>
        </w:rPr>
        <w:instrText xml:space="preserve"> PAGEREF _Toc403140424 \h </w:instrText>
      </w:r>
      <w:r>
        <w:rPr>
          <w:noProof/>
        </w:rPr>
      </w:r>
      <w:r>
        <w:rPr>
          <w:noProof/>
        </w:rPr>
        <w:fldChar w:fldCharType="separate"/>
      </w:r>
      <w:r>
        <w:rPr>
          <w:noProof/>
        </w:rPr>
        <w:t>8</w:t>
      </w:r>
      <w:r>
        <w:rPr>
          <w:noProof/>
        </w:rPr>
        <w:fldChar w:fldCharType="end"/>
      </w:r>
    </w:p>
    <w:p w:rsidR="00571A66" w:rsidRDefault="00571A66">
      <w:pPr>
        <w:pStyle w:val="TOC1"/>
        <w:rPr>
          <w:rFonts w:asciiTheme="minorHAnsi" w:eastAsiaTheme="minorEastAsia" w:hAnsiTheme="minorHAnsi" w:cstheme="minorBidi"/>
          <w:b w:val="0"/>
          <w:caps w:val="0"/>
          <w:noProof/>
          <w:sz w:val="22"/>
          <w:szCs w:val="22"/>
          <w:lang w:eastAsia="en-GB"/>
        </w:rPr>
      </w:pPr>
      <w:r w:rsidRPr="00D764BE">
        <w:rPr>
          <w:noProof/>
          <w:lang w:val="en-US"/>
        </w:rPr>
        <w:t>6.</w:t>
      </w:r>
      <w:r>
        <w:rPr>
          <w:rFonts w:asciiTheme="minorHAnsi" w:eastAsiaTheme="minorEastAsia" w:hAnsiTheme="minorHAnsi" w:cstheme="minorBidi"/>
          <w:b w:val="0"/>
          <w:caps w:val="0"/>
          <w:noProof/>
          <w:sz w:val="22"/>
          <w:szCs w:val="22"/>
          <w:lang w:eastAsia="en-GB"/>
        </w:rPr>
        <w:tab/>
      </w:r>
      <w:r>
        <w:rPr>
          <w:noProof/>
        </w:rPr>
        <w:t>References</w:t>
      </w:r>
      <w:r>
        <w:rPr>
          <w:noProof/>
        </w:rPr>
        <w:tab/>
      </w:r>
      <w:r>
        <w:rPr>
          <w:noProof/>
        </w:rPr>
        <w:fldChar w:fldCharType="begin"/>
      </w:r>
      <w:r>
        <w:rPr>
          <w:noProof/>
        </w:rPr>
        <w:instrText xml:space="preserve"> PAGEREF _Toc403140425 \h </w:instrText>
      </w:r>
      <w:r>
        <w:rPr>
          <w:noProof/>
        </w:rPr>
      </w:r>
      <w:r>
        <w:rPr>
          <w:noProof/>
        </w:rPr>
        <w:fldChar w:fldCharType="separate"/>
      </w:r>
      <w:r>
        <w:rPr>
          <w:noProof/>
        </w:rPr>
        <w:t>8</w:t>
      </w:r>
      <w:r>
        <w:rPr>
          <w:noProof/>
        </w:rPr>
        <w:fldChar w:fldCharType="end"/>
      </w:r>
    </w:p>
    <w:p w:rsidR="004B1FB4" w:rsidRPr="00D8714E" w:rsidRDefault="004B1FB4" w:rsidP="00795F57">
      <w:pPr>
        <w:pStyle w:val="Heading1"/>
      </w:pPr>
      <w:r w:rsidRPr="00D943D5">
        <w:fldChar w:fldCharType="end"/>
      </w:r>
      <w:bookmarkStart w:id="1" w:name="_Toc127000554"/>
      <w:bookmarkStart w:id="2" w:name="_Toc127000574"/>
      <w:bookmarkStart w:id="3" w:name="_Toc127001197"/>
      <w:bookmarkStart w:id="4" w:name="_Toc127761644"/>
      <w:bookmarkStart w:id="5" w:name="_Toc127001214"/>
      <w:bookmarkStart w:id="6" w:name="_Toc127761663"/>
      <w:bookmarkStart w:id="7" w:name="_Toc403140420"/>
      <w:bookmarkStart w:id="8" w:name="_Toc413639805"/>
      <w:bookmarkStart w:id="9" w:name="_Toc127001217"/>
      <w:bookmarkStart w:id="10" w:name="_Toc130697443"/>
      <w:bookmarkEnd w:id="0"/>
      <w:bookmarkEnd w:id="1"/>
      <w:bookmarkEnd w:id="2"/>
      <w:bookmarkEnd w:id="3"/>
      <w:bookmarkEnd w:id="4"/>
      <w:bookmarkEnd w:id="5"/>
      <w:bookmarkEnd w:id="6"/>
      <w:r w:rsidR="00D8714E" w:rsidRPr="00D8714E">
        <w:t>Introduction</w:t>
      </w:r>
      <w:bookmarkEnd w:id="7"/>
    </w:p>
    <w:p w:rsidR="00D8714E" w:rsidRDefault="00CE2C0E" w:rsidP="00373C40">
      <w:pPr>
        <w:ind w:firstLine="709"/>
      </w:pPr>
      <w:r w:rsidRPr="00CE2C0E">
        <w:t>The final fo</w:t>
      </w:r>
      <w:r>
        <w:t xml:space="preserve">cusing magnets for the </w:t>
      </w:r>
      <w:r w:rsidRPr="00CE2C0E">
        <w:t>High L</w:t>
      </w:r>
      <w:r w:rsidR="00373C40">
        <w:t>uminosity upgrade of the LHC (H</w:t>
      </w:r>
      <w:r w:rsidRPr="00CE2C0E">
        <w:t>L</w:t>
      </w:r>
      <w:r w:rsidR="00373C40">
        <w:t>-</w:t>
      </w:r>
      <w:r w:rsidRPr="00CE2C0E">
        <w:t>LHC [1]) will receive a heat load</w:t>
      </w:r>
      <w:r w:rsidR="00373C40">
        <w:t xml:space="preserve"> </w:t>
      </w:r>
      <w:r w:rsidRPr="00CE2C0E">
        <w:t>due to debris coming from the adjacent particle interaction points</w:t>
      </w:r>
      <w:r w:rsidR="00EC5C73">
        <w:t>: the computed peak heat deposition in the coil is of the order</w:t>
      </w:r>
      <w:r w:rsidR="003F6EE1">
        <w:t xml:space="preserve"> </w:t>
      </w:r>
      <w:r w:rsidR="00705918">
        <w:t>1-2.5</w:t>
      </w:r>
      <w:r w:rsidR="007243B6">
        <w:t> </w:t>
      </w:r>
      <w:proofErr w:type="spellStart"/>
      <w:r w:rsidR="00EC5C73">
        <w:t>mW</w:t>
      </w:r>
      <w:proofErr w:type="spellEnd"/>
      <w:r w:rsidR="00EC5C73">
        <w:t>/cm</w:t>
      </w:r>
      <w:r w:rsidR="00EC5C73" w:rsidRPr="00373C40">
        <w:rPr>
          <w:vertAlign w:val="superscript"/>
        </w:rPr>
        <w:t>3</w:t>
      </w:r>
      <w:r w:rsidR="00EC5C73" w:rsidRPr="00CE2C0E">
        <w:t xml:space="preserve"> </w:t>
      </w:r>
      <w:r w:rsidRPr="00CE2C0E">
        <w:t>[2]. Superconducting magnets based on Nb</w:t>
      </w:r>
      <w:r w:rsidRPr="00CE2C0E">
        <w:rPr>
          <w:vertAlign w:val="subscript"/>
        </w:rPr>
        <w:t>3</w:t>
      </w:r>
      <w:r w:rsidRPr="00CE2C0E">
        <w:t xml:space="preserve">Sn cable technology and operating in superfluid helium at temperatures below 2 K are </w:t>
      </w:r>
      <w:r w:rsidR="0006521E">
        <w:t xml:space="preserve">the </w:t>
      </w:r>
      <w:r w:rsidRPr="00CE2C0E">
        <w:t xml:space="preserve">objective of current magnet R&amp;D </w:t>
      </w:r>
      <w:r w:rsidR="00EC5C73">
        <w:t>and constitute the baseline for the project</w:t>
      </w:r>
      <w:r w:rsidR="003F6EE1">
        <w:t xml:space="preserve"> </w:t>
      </w:r>
      <w:r w:rsidRPr="00CE2C0E">
        <w:t xml:space="preserve">[3]. </w:t>
      </w:r>
      <w:r w:rsidR="007243B6" w:rsidRPr="007243B6">
        <w:t xml:space="preserve">This report addresses the issues related to the baseline option for cooling of the inner triplets by means of superfluid helium. The cooling method is based on a transfer of the proven superfluid helium cooling method, as used in the present LHC, to the </w:t>
      </w:r>
      <w:proofErr w:type="spellStart"/>
      <w:r w:rsidR="007243B6" w:rsidRPr="007243B6">
        <w:t>HiLumi</w:t>
      </w:r>
      <w:proofErr w:type="spellEnd"/>
      <w:r w:rsidR="007243B6" w:rsidRPr="007243B6">
        <w:t xml:space="preserve"> inner triplet magnets. The overall cryogenic infrastructure needed is considered similar, but easily scalable from the existing config</w:t>
      </w:r>
      <w:r w:rsidR="007243B6">
        <w:t>uration. The focus</w:t>
      </w:r>
      <w:r w:rsidR="007243B6" w:rsidRPr="007243B6">
        <w:t xml:space="preserve"> is therefore primarily on the cryogenic requirements to be imposed on the magnet cold masses, which are of a new type and which have to handle higher heat loads than accustomed. </w:t>
      </w:r>
      <w:r w:rsidR="00521A60">
        <w:rPr>
          <w:szCs w:val="24"/>
        </w:rPr>
        <w:t>A backup cooling method using supercritical helium, but at higher temperatures and thus penalising the magnet performance</w:t>
      </w:r>
      <w:r w:rsidR="001542FC">
        <w:rPr>
          <w:szCs w:val="24"/>
        </w:rPr>
        <w:t>,</w:t>
      </w:r>
      <w:r w:rsidR="00521A60">
        <w:rPr>
          <w:szCs w:val="24"/>
        </w:rPr>
        <w:t xml:space="preserve"> is reported in [</w:t>
      </w:r>
      <w:r w:rsidR="00DE553E">
        <w:rPr>
          <w:szCs w:val="24"/>
        </w:rPr>
        <w:t>4</w:t>
      </w:r>
      <w:r w:rsidR="00521A60">
        <w:rPr>
          <w:szCs w:val="24"/>
        </w:rPr>
        <w:t>].</w:t>
      </w:r>
    </w:p>
    <w:p w:rsidR="00FF6FEA" w:rsidRDefault="00FF6FEA" w:rsidP="00795F57">
      <w:pPr>
        <w:pStyle w:val="Heading1"/>
      </w:pPr>
      <w:bookmarkStart w:id="11" w:name="_Toc403140421"/>
      <w:r w:rsidRPr="00FF6FEA">
        <w:t xml:space="preserve">Description of the </w:t>
      </w:r>
      <w:r w:rsidR="00663F5A">
        <w:t>Inner triplet</w:t>
      </w:r>
      <w:r w:rsidR="009A43B0">
        <w:t xml:space="preserve"> </w:t>
      </w:r>
      <w:r w:rsidRPr="00FF6FEA">
        <w:t>magnets</w:t>
      </w:r>
      <w:bookmarkEnd w:id="11"/>
    </w:p>
    <w:p w:rsidR="00373C40" w:rsidRDefault="00FF6FEA" w:rsidP="00373C40">
      <w:pPr>
        <w:ind w:firstLine="709"/>
      </w:pPr>
      <w:r>
        <w:t>The magnets have one beam pipe protruding over the full length through which the accelerated particles travel. Separated from it by an annular gap</w:t>
      </w:r>
      <w:r w:rsidR="00373C40">
        <w:t>, filled with He,</w:t>
      </w:r>
      <w:r>
        <w:t xml:space="preserve"> are the superconducting coils, usually two layers, embedded in an iron structure to maintain all the forces and to guide and shape the magnetic field. This whole, so-called cold-mass, is enclosed in a vessel, to be kept at the chosen operating temperature and supported in a vacuum insulated cryostat. In the following we will discuss the cooling channels and their configuration specific to the cold masses only.</w:t>
      </w:r>
    </w:p>
    <w:p w:rsidR="00373C40" w:rsidRDefault="00373C40" w:rsidP="00373C40">
      <w:pPr>
        <w:ind w:firstLine="709"/>
      </w:pPr>
    </w:p>
    <w:p w:rsidR="006470F3" w:rsidRDefault="00FF6FEA" w:rsidP="00A02483">
      <w:pPr>
        <w:ind w:firstLine="709"/>
      </w:pPr>
      <w:r>
        <w:t xml:space="preserve">The </w:t>
      </w:r>
      <w:r w:rsidR="000411D2">
        <w:t xml:space="preserve">Inner Triplet </w:t>
      </w:r>
      <w:r>
        <w:t xml:space="preserve">magnets are installed on </w:t>
      </w:r>
      <w:r w:rsidR="00663F5A">
        <w:t>both</w:t>
      </w:r>
      <w:r w:rsidR="009A43B0">
        <w:t xml:space="preserve"> </w:t>
      </w:r>
      <w:r>
        <w:t>side</w:t>
      </w:r>
      <w:r w:rsidR="00663F5A">
        <w:t>s</w:t>
      </w:r>
      <w:r>
        <w:t xml:space="preserve"> of the interaction points</w:t>
      </w:r>
      <w:r w:rsidR="00663F5A">
        <w:t xml:space="preserve"> IP1 and IP5</w:t>
      </w:r>
      <w:r>
        <w:t>. The</w:t>
      </w:r>
      <w:r w:rsidR="00373C40">
        <w:t xml:space="preserve">y consist of two sets of </w:t>
      </w:r>
      <w:r w:rsidR="00663F5A">
        <w:t>six</w:t>
      </w:r>
      <w:r w:rsidR="00373C40">
        <w:t xml:space="preserve"> cryosta</w:t>
      </w:r>
      <w:r>
        <w:t>ts: four inner triplet quadrupoles (Q1, Q2a, Q2b, and Q3), one corrector package (CP) and one dipole (D1). The quadrupoles will be made using Nb</w:t>
      </w:r>
      <w:r w:rsidRPr="00FF6FEA">
        <w:rPr>
          <w:vertAlign w:val="subscript"/>
        </w:rPr>
        <w:t>3</w:t>
      </w:r>
      <w:r>
        <w:t>Sn coils whereas the CP and D1 will use Nb</w:t>
      </w:r>
      <w:r w:rsidR="000411D2">
        <w:t>-</w:t>
      </w:r>
      <w:r>
        <w:t xml:space="preserve">Ti coils. </w:t>
      </w:r>
      <w:r w:rsidR="00373C40">
        <w:t>The cryostats are about 4 m to 7 m in length each, with up to 3 </w:t>
      </w:r>
      <w:r>
        <w:t>m of cold interconnects. One set together forms a continuous cryostat with a total length of 57</w:t>
      </w:r>
      <w:r w:rsidR="00373C40">
        <w:t> </w:t>
      </w:r>
      <w:r>
        <w:t>m</w:t>
      </w:r>
      <w:r w:rsidR="00A8051B">
        <w:t>.</w:t>
      </w:r>
    </w:p>
    <w:p w:rsidR="006470F3" w:rsidRDefault="006470F3" w:rsidP="00A02483">
      <w:pPr>
        <w:ind w:firstLine="709"/>
      </w:pPr>
    </w:p>
    <w:p w:rsidR="00FF6FEA" w:rsidRDefault="009A43B0" w:rsidP="00A02483">
      <w:pPr>
        <w:ind w:firstLine="709"/>
      </w:pPr>
      <w:r>
        <w:t xml:space="preserve">The heat loads due to debris from the adjacent </w:t>
      </w:r>
      <w:r w:rsidR="00B65BAC">
        <w:t xml:space="preserve">particle </w:t>
      </w:r>
      <w:r>
        <w:t>interaction point</w:t>
      </w:r>
      <w:r w:rsidR="00B65BAC">
        <w:t xml:space="preserve"> are intercepted at two distinct magnet locations and temperature levels. A first heat intercept is on tungsten absorbers which are placed inside the beam pipe vacuum and which will be cooled in the 40 K to 60 K range. This</w:t>
      </w:r>
      <w:r w:rsidR="00A02483">
        <w:t xml:space="preserve"> heat intercept is outside of the scope of this report. </w:t>
      </w:r>
      <w:r w:rsidR="00B65BAC">
        <w:t xml:space="preserve">The remaining heat </w:t>
      </w:r>
      <w:r w:rsidR="00B65BAC">
        <w:lastRenderedPageBreak/>
        <w:t>load will fall on the cold mass volume comprised of the yoke, collars and coils</w:t>
      </w:r>
      <w:r w:rsidR="00A02483">
        <w:t>, referred to as “cold masses” for the remainder of this article</w:t>
      </w:r>
      <w:r w:rsidR="00B65BAC">
        <w:t xml:space="preserve">. </w:t>
      </w:r>
      <w:r w:rsidR="00FF6FEA">
        <w:t>The heat loads for only one set of 6 magnets are used for calculation. For the purpose of the evaluation of the cooling</w:t>
      </w:r>
      <w:r w:rsidR="006470F3">
        <w:t>,</w:t>
      </w:r>
      <w:r w:rsidR="00FF6FEA">
        <w:t xml:space="preserve"> the heat load </w:t>
      </w:r>
      <w:r w:rsidR="00002650">
        <w:t>to the cold masses is taken at 7</w:t>
      </w:r>
      <w:r w:rsidR="00FF6FEA">
        <w:t>00 W</w:t>
      </w:r>
      <w:r w:rsidR="00002650">
        <w:t xml:space="preserve"> for a luminosity of 5∙10</w:t>
      </w:r>
      <w:r w:rsidR="00002650" w:rsidRPr="00002650">
        <w:rPr>
          <w:vertAlign w:val="superscript"/>
        </w:rPr>
        <w:t>34</w:t>
      </w:r>
      <w:r w:rsidR="00002650">
        <w:t xml:space="preserve"> cm</w:t>
      </w:r>
      <w:r w:rsidR="00002650" w:rsidRPr="00002650">
        <w:rPr>
          <w:vertAlign w:val="superscript"/>
        </w:rPr>
        <w:t>-1</w:t>
      </w:r>
      <w:r w:rsidR="00002650">
        <w:t xml:space="preserve"> s</w:t>
      </w:r>
      <w:r w:rsidR="00002650" w:rsidRPr="00002650">
        <w:rPr>
          <w:vertAlign w:val="superscript"/>
        </w:rPr>
        <w:t>-1</w:t>
      </w:r>
      <w:r w:rsidR="00002650">
        <w:t xml:space="preserve"> with</w:t>
      </w:r>
      <w:r w:rsidR="00FF6FEA">
        <w:t xml:space="preserve"> provision </w:t>
      </w:r>
      <w:r w:rsidR="006470F3">
        <w:t xml:space="preserve">to be </w:t>
      </w:r>
      <w:r w:rsidR="00FF6FEA">
        <w:t>taken for</w:t>
      </w:r>
      <w:r w:rsidR="00002650">
        <w:t xml:space="preserve"> a</w:t>
      </w:r>
      <w:r w:rsidR="0006521E">
        <w:t>n</w:t>
      </w:r>
      <w:r w:rsidR="00002650">
        <w:t xml:space="preserve"> </w:t>
      </w:r>
      <w:r w:rsidR="0006521E">
        <w:t>u</w:t>
      </w:r>
      <w:r w:rsidR="00002650">
        <w:t xml:space="preserve">ltimate luminosity </w:t>
      </w:r>
      <w:r w:rsidR="0006521E">
        <w:t>of 7.</w:t>
      </w:r>
      <w:r w:rsidR="00002650">
        <w:t>5∙10</w:t>
      </w:r>
      <w:r w:rsidR="00002650" w:rsidRPr="00002650">
        <w:rPr>
          <w:vertAlign w:val="superscript"/>
        </w:rPr>
        <w:t>34</w:t>
      </w:r>
      <w:r w:rsidR="00002650">
        <w:t xml:space="preserve"> cm</w:t>
      </w:r>
      <w:r w:rsidR="00002650" w:rsidRPr="00002650">
        <w:rPr>
          <w:vertAlign w:val="superscript"/>
        </w:rPr>
        <w:t>-1</w:t>
      </w:r>
      <w:r w:rsidR="00002650">
        <w:t xml:space="preserve"> s</w:t>
      </w:r>
      <w:r w:rsidR="00002650" w:rsidRPr="00002650">
        <w:rPr>
          <w:vertAlign w:val="superscript"/>
        </w:rPr>
        <w:t>-1</w:t>
      </w:r>
      <w:r w:rsidR="0006521E">
        <w:t>, giving rise to 1050 W heat load.</w:t>
      </w:r>
    </w:p>
    <w:p w:rsidR="0006521E" w:rsidRDefault="0006521E" w:rsidP="00795F57">
      <w:pPr>
        <w:pStyle w:val="Heading1"/>
      </w:pPr>
      <w:bookmarkStart w:id="12" w:name="_Toc403140422"/>
      <w:r w:rsidRPr="0006521E">
        <w:t>Cooling by superfluid helium</w:t>
      </w:r>
      <w:r w:rsidR="00A206F5">
        <w:t xml:space="preserve">: </w:t>
      </w:r>
      <w:r w:rsidR="007243B6">
        <w:t>MAIN</w:t>
      </w:r>
      <w:r w:rsidR="008554CB">
        <w:t xml:space="preserve"> -</w:t>
      </w:r>
      <w:r w:rsidR="007243B6">
        <w:t xml:space="preserve"> </w:t>
      </w:r>
      <w:r w:rsidR="008554CB">
        <w:t>longitudinal -</w:t>
      </w:r>
      <w:r w:rsidR="00795F57">
        <w:t>Heat extraction</w:t>
      </w:r>
      <w:bookmarkEnd w:id="12"/>
    </w:p>
    <w:p w:rsidR="0006521E" w:rsidRPr="00042E9D" w:rsidRDefault="0006521E" w:rsidP="0013765F">
      <w:pPr>
        <w:pStyle w:val="CEC-ICMCBody"/>
        <w:ind w:firstLine="709"/>
        <w:rPr>
          <w:sz w:val="24"/>
        </w:rPr>
      </w:pPr>
      <w:bookmarkStart w:id="13" w:name="_GoBack"/>
      <w:r w:rsidRPr="00042E9D">
        <w:rPr>
          <w:sz w:val="24"/>
        </w:rPr>
        <w:t xml:space="preserve">The cooling principle is an evolution of the one proposed for the LHC-Phase-I Upgrade [5] (Figure 1). The cold masses will be cooled in </w:t>
      </w:r>
      <w:r w:rsidR="001207AE" w:rsidRPr="00042E9D">
        <w:rPr>
          <w:sz w:val="24"/>
        </w:rPr>
        <w:t xml:space="preserve">a </w:t>
      </w:r>
      <w:r w:rsidRPr="00042E9D">
        <w:rPr>
          <w:sz w:val="24"/>
        </w:rPr>
        <w:t xml:space="preserve">pressurized static superfluid helium bath at 1.3 </w:t>
      </w:r>
      <w:proofErr w:type="gramStart"/>
      <w:r w:rsidRPr="00042E9D">
        <w:rPr>
          <w:sz w:val="24"/>
        </w:rPr>
        <w:t>bar</w:t>
      </w:r>
      <w:proofErr w:type="gramEnd"/>
      <w:r w:rsidRPr="00042E9D">
        <w:rPr>
          <w:sz w:val="24"/>
        </w:rPr>
        <w:t xml:space="preserve"> and at a temperature of about 1.9 K. The heat generated in the magnets will be extracted by vaporization of superfluid helium which travels as a low pressure two-phase flow in two parallel bayonet heat exchangers </w:t>
      </w:r>
      <w:r w:rsidR="00E96F68" w:rsidRPr="00042E9D">
        <w:rPr>
          <w:sz w:val="24"/>
        </w:rPr>
        <w:t>(HX)</w:t>
      </w:r>
      <w:r w:rsidRPr="00042E9D">
        <w:rPr>
          <w:sz w:val="24"/>
        </w:rPr>
        <w:t xml:space="preserve"> [6], protruding the magnet yokes (depicted as one bold line in</w:t>
      </w:r>
      <w:r w:rsidR="007B5F21" w:rsidRPr="00042E9D">
        <w:rPr>
          <w:sz w:val="24"/>
        </w:rPr>
        <w:t xml:space="preserve"> </w:t>
      </w:r>
      <w:r w:rsidR="007B5F21" w:rsidRPr="00042E9D">
        <w:rPr>
          <w:sz w:val="24"/>
        </w:rPr>
        <w:fldChar w:fldCharType="begin"/>
      </w:r>
      <w:r w:rsidR="007B5F21" w:rsidRPr="00042E9D">
        <w:rPr>
          <w:sz w:val="24"/>
        </w:rPr>
        <w:instrText xml:space="preserve"> REF _Ref403063411 \h </w:instrText>
      </w:r>
      <w:r w:rsidR="007B5F21" w:rsidRPr="00042E9D">
        <w:rPr>
          <w:sz w:val="24"/>
        </w:rPr>
      </w:r>
      <w:r w:rsidR="00042E9D">
        <w:rPr>
          <w:sz w:val="24"/>
        </w:rPr>
        <w:instrText xml:space="preserve"> \* MERGEFORMAT </w:instrText>
      </w:r>
      <w:r w:rsidR="007B5F21" w:rsidRPr="00042E9D">
        <w:rPr>
          <w:sz w:val="24"/>
        </w:rPr>
        <w:fldChar w:fldCharType="separate"/>
      </w:r>
      <w:r w:rsidR="007B5F21" w:rsidRPr="00042E9D">
        <w:rPr>
          <w:sz w:val="24"/>
        </w:rPr>
        <w:t xml:space="preserve">Figure </w:t>
      </w:r>
      <w:r w:rsidR="007B5F21" w:rsidRPr="00042E9D">
        <w:rPr>
          <w:noProof/>
          <w:sz w:val="24"/>
        </w:rPr>
        <w:t>1</w:t>
      </w:r>
      <w:r w:rsidR="007B5F21" w:rsidRPr="00042E9D">
        <w:rPr>
          <w:sz w:val="24"/>
        </w:rPr>
        <w:fldChar w:fldCharType="end"/>
      </w:r>
      <w:r w:rsidRPr="00042E9D">
        <w:rPr>
          <w:sz w:val="24"/>
        </w:rPr>
        <w:t xml:space="preserve">). The low </w:t>
      </w:r>
      <w:proofErr w:type="spellStart"/>
      <w:r w:rsidRPr="00042E9D">
        <w:rPr>
          <w:sz w:val="24"/>
        </w:rPr>
        <w:t>vapour</w:t>
      </w:r>
      <w:proofErr w:type="spellEnd"/>
      <w:r w:rsidRPr="00042E9D">
        <w:rPr>
          <w:sz w:val="24"/>
        </w:rPr>
        <w:t xml:space="preserve"> pressure inside the heat exchanger is maintained by a cold compressor system, with a suction pressure of 15 mbar, corresponding to the saturation temperature of 1.776 K.</w:t>
      </w:r>
    </w:p>
    <w:p w:rsidR="0006521E" w:rsidRPr="00042E9D" w:rsidRDefault="0006521E" w:rsidP="0013765F">
      <w:pPr>
        <w:pStyle w:val="CEC-ICMCBody"/>
        <w:ind w:firstLine="709"/>
        <w:rPr>
          <w:sz w:val="24"/>
        </w:rPr>
      </w:pPr>
      <w:r w:rsidRPr="00042E9D">
        <w:rPr>
          <w:sz w:val="24"/>
        </w:rPr>
        <w:t xml:space="preserve">Due to constraints on magnet design, the bayonet heat exchanger can be made to be continuous only through the quadrupole magnets or through the corrector package and dipole. The size and number of heat exchangers is determined by the maximum </w:t>
      </w:r>
      <w:proofErr w:type="spellStart"/>
      <w:r w:rsidRPr="00042E9D">
        <w:rPr>
          <w:sz w:val="24"/>
        </w:rPr>
        <w:t>vapour</w:t>
      </w:r>
      <w:proofErr w:type="spellEnd"/>
      <w:r w:rsidRPr="00042E9D">
        <w:rPr>
          <w:sz w:val="24"/>
        </w:rPr>
        <w:t xml:space="preserve"> velocity of 7 m/s</w:t>
      </w:r>
      <w:r w:rsidR="001207AE" w:rsidRPr="00042E9D">
        <w:rPr>
          <w:sz w:val="24"/>
        </w:rPr>
        <w:t xml:space="preserve"> above which the heat exchangers do not function anymore</w:t>
      </w:r>
      <w:r w:rsidRPr="00042E9D">
        <w:rPr>
          <w:sz w:val="24"/>
        </w:rPr>
        <w:t xml:space="preserve"> and the total available heat exchange area, when </w:t>
      </w:r>
      <w:r w:rsidR="001207AE" w:rsidRPr="00042E9D">
        <w:rPr>
          <w:sz w:val="24"/>
        </w:rPr>
        <w:t>they are wetted over their</w:t>
      </w:r>
      <w:r w:rsidRPr="00042E9D">
        <w:rPr>
          <w:sz w:val="24"/>
        </w:rPr>
        <w:t xml:space="preserve"> full length. For the quadrupole heat exchangers, the </w:t>
      </w:r>
      <w:proofErr w:type="spellStart"/>
      <w:r w:rsidRPr="00042E9D">
        <w:rPr>
          <w:sz w:val="24"/>
        </w:rPr>
        <w:t>vapour</w:t>
      </w:r>
      <w:proofErr w:type="spellEnd"/>
      <w:r w:rsidRPr="00042E9D">
        <w:rPr>
          <w:sz w:val="24"/>
        </w:rPr>
        <w:t xml:space="preserve"> velocity limit is the more stringent condition and is met if the inner diameter of the two parallel heat exchangers is greater than </w:t>
      </w:r>
      <w:r w:rsidR="007B5F21" w:rsidRPr="00042E9D">
        <w:rPr>
          <w:sz w:val="24"/>
        </w:rPr>
        <w:t>68 mm and an additional low pressure pumping is added between Q2a and Q2b</w:t>
      </w:r>
      <w:r w:rsidR="00DE1A75" w:rsidRPr="00042E9D">
        <w:rPr>
          <w:sz w:val="24"/>
        </w:rPr>
        <w:t xml:space="preserve">. </w:t>
      </w:r>
      <w:r w:rsidR="00B51003" w:rsidRPr="00042E9D">
        <w:rPr>
          <w:sz w:val="24"/>
        </w:rPr>
        <w:fldChar w:fldCharType="begin"/>
      </w:r>
      <w:r w:rsidR="00B51003" w:rsidRPr="00042E9D">
        <w:rPr>
          <w:sz w:val="24"/>
        </w:rPr>
        <w:instrText xml:space="preserve"> REF _Ref403133609 \h </w:instrText>
      </w:r>
      <w:r w:rsidR="00B51003" w:rsidRPr="00042E9D">
        <w:rPr>
          <w:sz w:val="24"/>
        </w:rPr>
      </w:r>
      <w:r w:rsidR="00042E9D">
        <w:rPr>
          <w:sz w:val="24"/>
        </w:rPr>
        <w:instrText xml:space="preserve"> \* MERGEFORMAT </w:instrText>
      </w:r>
      <w:r w:rsidR="00B51003" w:rsidRPr="00042E9D">
        <w:rPr>
          <w:sz w:val="24"/>
        </w:rPr>
        <w:fldChar w:fldCharType="separate"/>
      </w:r>
      <w:r w:rsidR="00B51003" w:rsidRPr="00042E9D">
        <w:rPr>
          <w:sz w:val="24"/>
        </w:rPr>
        <w:t xml:space="preserve">Figure </w:t>
      </w:r>
      <w:r w:rsidR="00B51003" w:rsidRPr="00042E9D">
        <w:rPr>
          <w:noProof/>
          <w:sz w:val="24"/>
        </w:rPr>
        <w:t>2</w:t>
      </w:r>
      <w:r w:rsidR="00B51003" w:rsidRPr="00042E9D">
        <w:rPr>
          <w:sz w:val="24"/>
        </w:rPr>
        <w:fldChar w:fldCharType="end"/>
      </w:r>
      <w:r w:rsidR="00B51003" w:rsidRPr="00042E9D">
        <w:rPr>
          <w:sz w:val="24"/>
        </w:rPr>
        <w:t xml:space="preserve"> </w:t>
      </w:r>
      <w:r w:rsidR="00DE1A75" w:rsidRPr="00042E9D">
        <w:rPr>
          <w:sz w:val="24"/>
        </w:rPr>
        <w:t xml:space="preserve">shows schematically the </w:t>
      </w:r>
      <w:r w:rsidR="00B51003" w:rsidRPr="00042E9D">
        <w:rPr>
          <w:sz w:val="24"/>
        </w:rPr>
        <w:t xml:space="preserve">placement of </w:t>
      </w:r>
      <w:r w:rsidR="00DE1A75" w:rsidRPr="00042E9D">
        <w:rPr>
          <w:sz w:val="24"/>
        </w:rPr>
        <w:t>external interfaces needed for the cryogenic</w:t>
      </w:r>
      <w:r w:rsidR="007B5F21" w:rsidRPr="00042E9D">
        <w:rPr>
          <w:sz w:val="24"/>
        </w:rPr>
        <w:t xml:space="preserve"> </w:t>
      </w:r>
      <w:r w:rsidR="00DE1A75" w:rsidRPr="00042E9D">
        <w:rPr>
          <w:sz w:val="24"/>
        </w:rPr>
        <w:t>services</w:t>
      </w:r>
      <w:r w:rsidR="00B51003" w:rsidRPr="00042E9D">
        <w:rPr>
          <w:sz w:val="24"/>
        </w:rPr>
        <w:t xml:space="preserve"> over the extend of the magnet chain</w:t>
      </w:r>
      <w:r w:rsidR="00DE1A75" w:rsidRPr="00042E9D">
        <w:rPr>
          <w:sz w:val="24"/>
        </w:rPr>
        <w:t>.</w:t>
      </w:r>
      <w:r w:rsidR="00B51003" w:rsidRPr="00042E9D">
        <w:rPr>
          <w:sz w:val="24"/>
        </w:rPr>
        <w:t xml:space="preserve"> </w:t>
      </w:r>
      <w:r w:rsidR="00E96F68" w:rsidRPr="00042E9D">
        <w:rPr>
          <w:sz w:val="24"/>
        </w:rPr>
        <w:t>The heat exchangers are to be made of copper to assure proper heat conduction across the walls. A</w:t>
      </w:r>
      <w:r w:rsidR="00BC774A" w:rsidRPr="00042E9D">
        <w:rPr>
          <w:sz w:val="24"/>
        </w:rPr>
        <w:t xml:space="preserve"> wall thickness of </w:t>
      </w:r>
      <w:r w:rsidR="00E96F68" w:rsidRPr="00042E9D">
        <w:rPr>
          <w:sz w:val="24"/>
        </w:rPr>
        <w:t xml:space="preserve">about </w:t>
      </w:r>
      <w:r w:rsidR="00BC774A" w:rsidRPr="00042E9D">
        <w:rPr>
          <w:sz w:val="24"/>
        </w:rPr>
        <w:t xml:space="preserve">3 mm </w:t>
      </w:r>
      <w:r w:rsidR="00E96F68" w:rsidRPr="00042E9D">
        <w:rPr>
          <w:sz w:val="24"/>
        </w:rPr>
        <w:t xml:space="preserve">is </w:t>
      </w:r>
      <w:r w:rsidR="00BC774A" w:rsidRPr="00042E9D">
        <w:rPr>
          <w:sz w:val="24"/>
        </w:rPr>
        <w:t xml:space="preserve">required to sustain the external design pressures of 20 </w:t>
      </w:r>
      <w:proofErr w:type="gramStart"/>
      <w:r w:rsidR="00BC774A" w:rsidRPr="00042E9D">
        <w:rPr>
          <w:sz w:val="24"/>
        </w:rPr>
        <w:t>bar</w:t>
      </w:r>
      <w:proofErr w:type="gramEnd"/>
      <w:r w:rsidR="00E96F68" w:rsidRPr="00042E9D">
        <w:rPr>
          <w:sz w:val="24"/>
        </w:rPr>
        <w:t>.</w:t>
      </w:r>
      <w:r w:rsidR="00BC774A" w:rsidRPr="00042E9D">
        <w:rPr>
          <w:sz w:val="24"/>
        </w:rPr>
        <w:t xml:space="preserve"> </w:t>
      </w:r>
      <w:r w:rsidR="00E96F68" w:rsidRPr="00042E9D">
        <w:rPr>
          <w:sz w:val="24"/>
        </w:rPr>
        <w:t>With</w:t>
      </w:r>
      <w:r w:rsidR="00795F57" w:rsidRPr="00042E9D">
        <w:rPr>
          <w:sz w:val="24"/>
        </w:rPr>
        <w:t>,</w:t>
      </w:r>
      <w:r w:rsidR="00E96F68" w:rsidRPr="00042E9D">
        <w:rPr>
          <w:sz w:val="24"/>
        </w:rPr>
        <w:t xml:space="preserve"> in addition</w:t>
      </w:r>
      <w:r w:rsidR="00795F57" w:rsidRPr="00042E9D">
        <w:rPr>
          <w:sz w:val="24"/>
        </w:rPr>
        <w:t>,</w:t>
      </w:r>
      <w:r w:rsidR="00E96F68" w:rsidRPr="00042E9D">
        <w:rPr>
          <w:sz w:val="24"/>
        </w:rPr>
        <w:t xml:space="preserve"> </w:t>
      </w:r>
      <w:r w:rsidR="00BC774A" w:rsidRPr="00042E9D">
        <w:rPr>
          <w:sz w:val="24"/>
        </w:rPr>
        <w:t xml:space="preserve">an annular space of 1.5 mm </w:t>
      </w:r>
      <w:r w:rsidR="00E96F68" w:rsidRPr="00042E9D">
        <w:rPr>
          <w:sz w:val="24"/>
        </w:rPr>
        <w:t>between the</w:t>
      </w:r>
      <w:r w:rsidR="00795F57" w:rsidRPr="00042E9D">
        <w:rPr>
          <w:sz w:val="24"/>
        </w:rPr>
        <w:t xml:space="preserve"> HX and the yoke </w:t>
      </w:r>
      <w:r w:rsidR="00BC774A" w:rsidRPr="00042E9D">
        <w:rPr>
          <w:sz w:val="24"/>
        </w:rPr>
        <w:t>to allow contact area of the pressurized superfluid helium</w:t>
      </w:r>
      <w:r w:rsidR="00397294" w:rsidRPr="00042E9D">
        <w:rPr>
          <w:sz w:val="24"/>
        </w:rPr>
        <w:t xml:space="preserve"> </w:t>
      </w:r>
      <w:r w:rsidR="00BC774A" w:rsidRPr="00042E9D">
        <w:rPr>
          <w:sz w:val="24"/>
        </w:rPr>
        <w:t xml:space="preserve">on the coil-side, the yoke </w:t>
      </w:r>
      <w:proofErr w:type="gramStart"/>
      <w:r w:rsidR="00BC774A" w:rsidRPr="00042E9D">
        <w:rPr>
          <w:sz w:val="24"/>
        </w:rPr>
        <w:t>hole</w:t>
      </w:r>
      <w:proofErr w:type="gramEnd"/>
      <w:r w:rsidR="00BC774A" w:rsidRPr="00042E9D">
        <w:rPr>
          <w:sz w:val="24"/>
        </w:rPr>
        <w:t xml:space="preserve"> size required is 77 mm minimum. </w:t>
      </w:r>
      <w:r w:rsidR="00795F57" w:rsidRPr="00042E9D">
        <w:rPr>
          <w:sz w:val="24"/>
        </w:rPr>
        <w:t>With this configuration a</w:t>
      </w:r>
      <w:r w:rsidR="00BC774A" w:rsidRPr="00042E9D">
        <w:rPr>
          <w:sz w:val="24"/>
        </w:rPr>
        <w:t>bout 800 W can be safely extracted.</w:t>
      </w:r>
      <w:r w:rsidR="00397294" w:rsidRPr="00042E9D">
        <w:rPr>
          <w:sz w:val="24"/>
        </w:rPr>
        <w:t xml:space="preserve"> Th</w:t>
      </w:r>
      <w:r w:rsidR="00795F57" w:rsidRPr="00042E9D">
        <w:rPr>
          <w:sz w:val="24"/>
        </w:rPr>
        <w:t>e 77 mm</w:t>
      </w:r>
      <w:r w:rsidR="00397294" w:rsidRPr="00042E9D">
        <w:rPr>
          <w:sz w:val="24"/>
        </w:rPr>
        <w:t xml:space="preserve"> yoke </w:t>
      </w:r>
      <w:proofErr w:type="gramStart"/>
      <w:r w:rsidR="00397294" w:rsidRPr="00042E9D">
        <w:rPr>
          <w:sz w:val="24"/>
        </w:rPr>
        <w:t>hole</w:t>
      </w:r>
      <w:proofErr w:type="gramEnd"/>
      <w:r w:rsidR="00397294" w:rsidRPr="00042E9D">
        <w:rPr>
          <w:sz w:val="24"/>
        </w:rPr>
        <w:t xml:space="preserve"> size </w:t>
      </w:r>
      <w:r w:rsidR="00867CFA" w:rsidRPr="00042E9D">
        <w:rPr>
          <w:sz w:val="24"/>
        </w:rPr>
        <w:t>is compatible with the mechanical design of the magnet</w:t>
      </w:r>
      <w:r w:rsidR="00397294" w:rsidRPr="00042E9D">
        <w:rPr>
          <w:sz w:val="24"/>
        </w:rPr>
        <w:t>, but should not be increased</w:t>
      </w:r>
      <w:r w:rsidR="00867CFA" w:rsidRPr="00042E9D">
        <w:rPr>
          <w:sz w:val="24"/>
        </w:rPr>
        <w:t xml:space="preserve"> otherwise one would need to increase as well the overall diameter of the cold mass</w:t>
      </w:r>
      <w:r w:rsidR="00397294" w:rsidRPr="00042E9D">
        <w:rPr>
          <w:sz w:val="24"/>
        </w:rPr>
        <w:t>. Coping with the remaining 250 W is to be done via</w:t>
      </w:r>
      <w:r w:rsidRPr="00042E9D">
        <w:rPr>
          <w:sz w:val="24"/>
        </w:rPr>
        <w:t xml:space="preserve"> active cooling of the other magnets</w:t>
      </w:r>
      <w:r w:rsidR="00397294" w:rsidRPr="00042E9D">
        <w:rPr>
          <w:sz w:val="24"/>
        </w:rPr>
        <w:t>,</w:t>
      </w:r>
      <w:r w:rsidRPr="00042E9D">
        <w:rPr>
          <w:sz w:val="24"/>
        </w:rPr>
        <w:t xml:space="preserve"> D1 and CP</w:t>
      </w:r>
      <w:r w:rsidR="00397294" w:rsidRPr="00042E9D">
        <w:rPr>
          <w:sz w:val="24"/>
        </w:rPr>
        <w:t>.</w:t>
      </w:r>
      <w:r w:rsidRPr="00042E9D">
        <w:rPr>
          <w:sz w:val="24"/>
        </w:rPr>
        <w:t xml:space="preserve"> </w:t>
      </w:r>
      <w:r w:rsidR="00397294" w:rsidRPr="00042E9D">
        <w:rPr>
          <w:sz w:val="24"/>
        </w:rPr>
        <w:t>T</w:t>
      </w:r>
      <w:r w:rsidRPr="00042E9D">
        <w:rPr>
          <w:sz w:val="24"/>
        </w:rPr>
        <w:t xml:space="preserve">wo parallel bayonet heat exchangers of </w:t>
      </w:r>
      <w:r w:rsidR="00397294" w:rsidRPr="00042E9D">
        <w:rPr>
          <w:sz w:val="24"/>
        </w:rPr>
        <w:t>51</w:t>
      </w:r>
      <w:r w:rsidRPr="00042E9D">
        <w:rPr>
          <w:sz w:val="24"/>
        </w:rPr>
        <w:t> mm ID through D1 and CP are foreseen</w:t>
      </w:r>
      <w:r w:rsidR="00397294" w:rsidRPr="00042E9D">
        <w:rPr>
          <w:sz w:val="24"/>
        </w:rPr>
        <w:t>, requiring yoke holes of 60 mm diameter</w:t>
      </w:r>
      <w:r w:rsidRPr="00042E9D">
        <w:rPr>
          <w:sz w:val="24"/>
        </w:rPr>
        <w:t>.</w:t>
      </w:r>
    </w:p>
    <w:p w:rsidR="009440F6" w:rsidRPr="00042E9D" w:rsidRDefault="009440F6" w:rsidP="00DE553E">
      <w:pPr>
        <w:pStyle w:val="CEC-ICMCBody"/>
        <w:ind w:firstLine="709"/>
        <w:rPr>
          <w:sz w:val="24"/>
        </w:rPr>
      </w:pPr>
      <w:r w:rsidRPr="00042E9D">
        <w:rPr>
          <w:sz w:val="24"/>
        </w:rPr>
        <w:t xml:space="preserve">For the proper functioning of the two-phase heat </w:t>
      </w:r>
      <w:r w:rsidR="00E96F68" w:rsidRPr="00042E9D">
        <w:rPr>
          <w:sz w:val="24"/>
        </w:rPr>
        <w:t>exchanger</w:t>
      </w:r>
      <w:r w:rsidRPr="00042E9D">
        <w:rPr>
          <w:sz w:val="24"/>
        </w:rPr>
        <w:t xml:space="preserve"> configuration</w:t>
      </w:r>
      <w:r w:rsidR="00867CFA" w:rsidRPr="00042E9D">
        <w:rPr>
          <w:sz w:val="24"/>
        </w:rPr>
        <w:t>,</w:t>
      </w:r>
      <w:r w:rsidRPr="00042E9D">
        <w:rPr>
          <w:sz w:val="24"/>
        </w:rPr>
        <w:t xml:space="preserve"> heat must be given some freedom to redistribute along the length of the cold-masses. </w:t>
      </w:r>
      <w:r w:rsidR="00DE553E" w:rsidRPr="00042E9D">
        <w:rPr>
          <w:sz w:val="24"/>
        </w:rPr>
        <w:t xml:space="preserve">This is no hard </w:t>
      </w:r>
      <w:proofErr w:type="spellStart"/>
      <w:r w:rsidR="006470F3" w:rsidRPr="00042E9D">
        <w:rPr>
          <w:sz w:val="24"/>
        </w:rPr>
        <w:t>criterium</w:t>
      </w:r>
      <w:proofErr w:type="spellEnd"/>
      <w:r w:rsidR="00DE553E" w:rsidRPr="00042E9D">
        <w:rPr>
          <w:sz w:val="24"/>
        </w:rPr>
        <w:t xml:space="preserve">, and </w:t>
      </w:r>
      <w:r w:rsidRPr="00042E9D">
        <w:rPr>
          <w:sz w:val="24"/>
        </w:rPr>
        <w:t>a free longitudinal area of ≥ 150 cm</w:t>
      </w:r>
      <w:r w:rsidRPr="00042E9D">
        <w:rPr>
          <w:sz w:val="24"/>
          <w:vertAlign w:val="superscript"/>
        </w:rPr>
        <w:t>2</w:t>
      </w:r>
      <w:r w:rsidRPr="00042E9D">
        <w:rPr>
          <w:sz w:val="24"/>
        </w:rPr>
        <w:t xml:space="preserve"> through the Q1, Q2a, Q2b, Q3</w:t>
      </w:r>
      <w:r w:rsidR="00E96F68" w:rsidRPr="00042E9D">
        <w:rPr>
          <w:sz w:val="24"/>
        </w:rPr>
        <w:t>, and their interconnections</w:t>
      </w:r>
      <w:r w:rsidRPr="00042E9D">
        <w:rPr>
          <w:sz w:val="24"/>
        </w:rPr>
        <w:t xml:space="preserve"> and ≥ 100</w:t>
      </w:r>
      <w:r w:rsidR="00867CFA" w:rsidRPr="00042E9D">
        <w:rPr>
          <w:sz w:val="24"/>
        </w:rPr>
        <w:t> </w:t>
      </w:r>
      <w:r w:rsidRPr="00042E9D">
        <w:rPr>
          <w:sz w:val="24"/>
        </w:rPr>
        <w:t>cm</w:t>
      </w:r>
      <w:r w:rsidRPr="00042E9D">
        <w:rPr>
          <w:sz w:val="24"/>
          <w:vertAlign w:val="superscript"/>
        </w:rPr>
        <w:t xml:space="preserve">2 </w:t>
      </w:r>
      <w:r w:rsidRPr="00042E9D">
        <w:rPr>
          <w:sz w:val="24"/>
        </w:rPr>
        <w:t>throug</w:t>
      </w:r>
      <w:r w:rsidR="00E96F68" w:rsidRPr="00042E9D">
        <w:rPr>
          <w:sz w:val="24"/>
        </w:rPr>
        <w:t>h D1, CP and their interconnections</w:t>
      </w:r>
      <w:r w:rsidRPr="00042E9D">
        <w:rPr>
          <w:sz w:val="24"/>
        </w:rPr>
        <w:t xml:space="preserve"> </w:t>
      </w:r>
      <w:r w:rsidR="006470F3" w:rsidRPr="00042E9D">
        <w:rPr>
          <w:sz w:val="24"/>
        </w:rPr>
        <w:t>are deemed</w:t>
      </w:r>
      <w:r w:rsidRPr="00042E9D">
        <w:rPr>
          <w:sz w:val="24"/>
        </w:rPr>
        <w:t xml:space="preserve"> sufficient.</w:t>
      </w:r>
    </w:p>
    <w:bookmarkEnd w:id="13"/>
    <w:p w:rsidR="0006521E" w:rsidRDefault="0006521E" w:rsidP="0006521E">
      <w:pPr>
        <w:keepNext/>
        <w:ind w:firstLine="709"/>
        <w:jc w:val="center"/>
      </w:pPr>
      <w:r w:rsidRPr="00E06DE4">
        <w:rPr>
          <w:noProof/>
          <w:lang w:eastAsia="en-GB"/>
        </w:rPr>
        <w:lastRenderedPageBreak/>
        <w:drawing>
          <wp:inline distT="0" distB="0" distL="0" distR="0" wp14:anchorId="1D35A382" wp14:editId="2DCE8061">
            <wp:extent cx="4492983" cy="2324109"/>
            <wp:effectExtent l="0" t="0" r="317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984" cy="2325661"/>
                    </a:xfrm>
                    <a:prstGeom prst="rect">
                      <a:avLst/>
                    </a:prstGeom>
                    <a:noFill/>
                    <a:ln>
                      <a:noFill/>
                    </a:ln>
                  </pic:spPr>
                </pic:pic>
              </a:graphicData>
            </a:graphic>
          </wp:inline>
        </w:drawing>
      </w:r>
    </w:p>
    <w:p w:rsidR="0006521E" w:rsidRDefault="0006521E" w:rsidP="0006521E">
      <w:pPr>
        <w:pStyle w:val="Caption"/>
      </w:pPr>
      <w:bookmarkStart w:id="14" w:name="_Ref403063411"/>
      <w:r>
        <w:t xml:space="preserve">Figure </w:t>
      </w:r>
      <w:r w:rsidR="00042E9D">
        <w:fldChar w:fldCharType="begin"/>
      </w:r>
      <w:r w:rsidR="00042E9D">
        <w:instrText xml:space="preserve"> SEQ Figure \* ARABIC </w:instrText>
      </w:r>
      <w:r w:rsidR="00042E9D">
        <w:fldChar w:fldCharType="separate"/>
      </w:r>
      <w:r w:rsidR="00D33B95">
        <w:rPr>
          <w:noProof/>
        </w:rPr>
        <w:t>1</w:t>
      </w:r>
      <w:r w:rsidR="00042E9D">
        <w:rPr>
          <w:noProof/>
        </w:rPr>
        <w:fldChar w:fldCharType="end"/>
      </w:r>
      <w:bookmarkEnd w:id="14"/>
      <w:r>
        <w:t xml:space="preserve">: </w:t>
      </w:r>
      <w:r w:rsidRPr="002B77BD">
        <w:t>architecture of the cooling by using superfluid helium</w:t>
      </w:r>
    </w:p>
    <w:p w:rsidR="0013765F" w:rsidRDefault="00B51003" w:rsidP="0013765F">
      <w:pPr>
        <w:keepNext/>
        <w:jc w:val="center"/>
      </w:pPr>
      <w:r>
        <w:rPr>
          <w:noProof/>
          <w:lang w:eastAsia="en-GB"/>
        </w:rPr>
        <w:drawing>
          <wp:inline distT="0" distB="0" distL="0" distR="0" wp14:anchorId="661FE506" wp14:editId="70A20493">
            <wp:extent cx="5705876" cy="3519943"/>
            <wp:effectExtent l="0" t="0" r="952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2150" cy="3523814"/>
                    </a:xfrm>
                    <a:prstGeom prst="rect">
                      <a:avLst/>
                    </a:prstGeom>
                    <a:noFill/>
                  </pic:spPr>
                </pic:pic>
              </a:graphicData>
            </a:graphic>
          </wp:inline>
        </w:drawing>
      </w:r>
    </w:p>
    <w:p w:rsidR="00D4161A" w:rsidRDefault="0013765F" w:rsidP="00E00297">
      <w:pPr>
        <w:pStyle w:val="Caption"/>
      </w:pPr>
      <w:bookmarkStart w:id="15" w:name="_Ref403133609"/>
      <w:r>
        <w:t xml:space="preserve">Figure </w:t>
      </w:r>
      <w:r w:rsidR="00042E9D">
        <w:fldChar w:fldCharType="begin"/>
      </w:r>
      <w:r w:rsidR="00042E9D">
        <w:instrText xml:space="preserve"> SEQ Figure \* ARABIC </w:instrText>
      </w:r>
      <w:r w:rsidR="00042E9D">
        <w:fldChar w:fldCharType="separate"/>
      </w:r>
      <w:r w:rsidR="00D33B95">
        <w:rPr>
          <w:noProof/>
        </w:rPr>
        <w:t>2</w:t>
      </w:r>
      <w:r w:rsidR="00042E9D">
        <w:rPr>
          <w:noProof/>
        </w:rPr>
        <w:fldChar w:fldCharType="end"/>
      </w:r>
      <w:bookmarkEnd w:id="15"/>
      <w:r>
        <w:t>: s</w:t>
      </w:r>
      <w:r w:rsidR="00B51003">
        <w:t>c</w:t>
      </w:r>
      <w:r>
        <w:t>hematic</w:t>
      </w:r>
      <w:r w:rsidR="00B51003" w:rsidRPr="00B51003">
        <w:t xml:space="preserve"> placement of external interfaces</w:t>
      </w:r>
      <w:r w:rsidR="00B51003">
        <w:t xml:space="preserve"> over the magnet chain</w:t>
      </w:r>
      <w:r w:rsidR="00B51003" w:rsidRPr="00B51003">
        <w:t xml:space="preserve"> needed for the cryogenic services</w:t>
      </w:r>
    </w:p>
    <w:p w:rsidR="00A206F5" w:rsidRDefault="00A206F5" w:rsidP="00795F57">
      <w:pPr>
        <w:pStyle w:val="Heading1"/>
      </w:pPr>
      <w:bookmarkStart w:id="16" w:name="_Toc403140423"/>
      <w:bookmarkEnd w:id="8"/>
      <w:bookmarkEnd w:id="9"/>
      <w:bookmarkEnd w:id="10"/>
      <w:r w:rsidRPr="0006521E">
        <w:t>Cooling by superfluid helium</w:t>
      </w:r>
      <w:r>
        <w:t xml:space="preserve">: </w:t>
      </w:r>
      <w:r w:rsidR="008554CB">
        <w:t>radial extraction</w:t>
      </w:r>
      <w:bookmarkEnd w:id="16"/>
    </w:p>
    <w:p w:rsidR="00791F84" w:rsidRDefault="00A206F5" w:rsidP="00A206F5">
      <w:pPr>
        <w:pStyle w:val="CEC-ICMCBody"/>
        <w:ind w:firstLine="709"/>
      </w:pPr>
      <w:r>
        <w:t>The Nb</w:t>
      </w:r>
      <w:r w:rsidRPr="000618E9">
        <w:rPr>
          <w:vertAlign w:val="subscript"/>
        </w:rPr>
        <w:t>3</w:t>
      </w:r>
      <w:r>
        <w:t xml:space="preserve">Sn quadrupole coils are fully impregnated, without any helium penetration. </w:t>
      </w:r>
      <w:r w:rsidR="00BD440D" w:rsidRPr="00BD440D">
        <w:t xml:space="preserve">The heat loads from the coils and the beam-pipe area can only evacuate to the two heat exchangers by means of the pressurized HeII. To this end the cold mass design shall incorporate the necessary </w:t>
      </w:r>
      <w:r w:rsidR="008554CB">
        <w:t xml:space="preserve">radial </w:t>
      </w:r>
      <w:r w:rsidR="00BD440D" w:rsidRPr="00BD440D">
        <w:t>helium passages</w:t>
      </w:r>
      <w:r w:rsidR="00BD440D">
        <w:t xml:space="preserve">.  </w:t>
      </w:r>
      <w:r w:rsidR="00BD440D">
        <w:fldChar w:fldCharType="begin"/>
      </w:r>
      <w:r w:rsidR="00BD440D">
        <w:instrText xml:space="preserve"> REF _Ref403064350 \h </w:instrText>
      </w:r>
      <w:r w:rsidR="00BD440D">
        <w:fldChar w:fldCharType="separate"/>
      </w:r>
      <w:r w:rsidR="00BD440D">
        <w:t xml:space="preserve">Figure </w:t>
      </w:r>
      <w:r w:rsidR="00BD440D">
        <w:rPr>
          <w:noProof/>
        </w:rPr>
        <w:t>2</w:t>
      </w:r>
      <w:r w:rsidR="00BD440D">
        <w:fldChar w:fldCharType="end"/>
      </w:r>
      <w:r w:rsidR="00BD440D">
        <w:t xml:space="preserve"> shows the typical heat flow path</w:t>
      </w:r>
      <w:r w:rsidR="00BD440D" w:rsidRPr="00BD440D">
        <w:t>:</w:t>
      </w:r>
      <w:r w:rsidR="00BD440D">
        <w:t xml:space="preserve"> out from the coil areas, through the </w:t>
      </w:r>
      <w:r w:rsidR="00BD440D" w:rsidRPr="00BD440D">
        <w:t xml:space="preserve">annular spacing between cold bore and inner coil-block, and </w:t>
      </w:r>
      <w:r w:rsidR="00BD440D">
        <w:t xml:space="preserve">subsequently via </w:t>
      </w:r>
      <w:r w:rsidR="00BD440D" w:rsidRPr="00BD440D">
        <w:t>free passage</w:t>
      </w:r>
      <w:r w:rsidR="00BD440D">
        <w:t xml:space="preserve">s </w:t>
      </w:r>
      <w:r w:rsidR="00BD440D" w:rsidRPr="00BD440D">
        <w:t xml:space="preserve">through the </w:t>
      </w:r>
      <w:r w:rsidR="00867CFA">
        <w:t>t</w:t>
      </w:r>
      <w:r w:rsidR="00867CFA" w:rsidRPr="00BD440D">
        <w:t xml:space="preserve">itanium </w:t>
      </w:r>
      <w:r w:rsidR="00BD440D" w:rsidRPr="00BD440D">
        <w:t>insert and</w:t>
      </w:r>
      <w:r w:rsidR="00BD440D">
        <w:t xml:space="preserve"> </w:t>
      </w:r>
      <w:r w:rsidR="00BD440D" w:rsidRPr="00BD440D">
        <w:t>G10</w:t>
      </w:r>
      <w:r w:rsidR="00BD440D">
        <w:t>-alignment key</w:t>
      </w:r>
      <w:r w:rsidR="00BD440D" w:rsidRPr="00BD440D">
        <w:t xml:space="preserve">. </w:t>
      </w:r>
      <w:r w:rsidR="00BD440D">
        <w:t xml:space="preserve">The annular space between cold bore and inner coil block is set at 1.5 mm and the </w:t>
      </w:r>
      <w:r w:rsidR="00BD440D" w:rsidRPr="00BD440D">
        <w:t xml:space="preserve">free passage needed through the </w:t>
      </w:r>
      <w:r w:rsidR="00867CFA">
        <w:t>t</w:t>
      </w:r>
      <w:r w:rsidR="00867CFA" w:rsidRPr="00BD440D">
        <w:t xml:space="preserve">itanium </w:t>
      </w:r>
      <w:r w:rsidR="00BD440D" w:rsidRPr="00BD440D">
        <w:t xml:space="preserve">insert and G10-alignment key is </w:t>
      </w:r>
      <w:r w:rsidR="00BD440D">
        <w:t xml:space="preserve">given by 8 mm holes repeated every </w:t>
      </w:r>
      <w:r w:rsidR="008554CB">
        <w:t xml:space="preserve">40 mm - </w:t>
      </w:r>
      <w:r w:rsidR="00BD440D">
        <w:t xml:space="preserve">50 mm </w:t>
      </w:r>
      <w:r w:rsidR="002D275E">
        <w:t xml:space="preserve">along the length of the magnet. </w:t>
      </w:r>
      <w:r w:rsidR="008554CB">
        <w:t xml:space="preserve">The exact repetition rate and size of the radial passages need further refinement in order to find a compromise between the </w:t>
      </w:r>
      <w:r w:rsidR="008554CB">
        <w:lastRenderedPageBreak/>
        <w:t xml:space="preserve">cooling margin </w:t>
      </w:r>
      <w:r w:rsidR="00FC5B36">
        <w:t xml:space="preserve">obtainable </w:t>
      </w:r>
      <w:r w:rsidR="008554CB">
        <w:t xml:space="preserve">and the </w:t>
      </w:r>
      <w:r w:rsidR="00FC5B36">
        <w:t>mechanical feasibility of integrating these holes</w:t>
      </w:r>
      <w:r w:rsidR="008554CB">
        <w:t xml:space="preserve">. </w:t>
      </w:r>
      <w:r w:rsidR="006E2AD2">
        <w:t>To have freedom to install the two heat exchangers in any two of the four available cooling channel holes in the yoke and to limit asymmetric cooling conditions, some free helium paths interconnecting these four cooling channel holes are to be implemented in the cold mass design.</w:t>
      </w:r>
    </w:p>
    <w:p w:rsidR="00A206F5" w:rsidRDefault="002D275E" w:rsidP="00791F84">
      <w:pPr>
        <w:pStyle w:val="CEC-ICMCBody"/>
        <w:ind w:firstLine="709"/>
      </w:pPr>
      <w:r>
        <w:t>Initial thermal model ca</w:t>
      </w:r>
      <w:r w:rsidR="006E2AD2">
        <w:t xml:space="preserve">lculations have shown that aforementioned </w:t>
      </w:r>
      <w:r>
        <w:t>values</w:t>
      </w:r>
      <w:r w:rsidR="00D33B95">
        <w:t>, given a source at 1.9 K,</w:t>
      </w:r>
      <w:r>
        <w:t xml:space="preserve"> will provide sufficient cooling at 5</w:t>
      </w:r>
      <w:r w:rsidR="00867CFA">
        <w:sym w:font="Symbol" w:char="F0B4"/>
      </w:r>
      <w:r>
        <w:t>10</w:t>
      </w:r>
      <w:r w:rsidRPr="00002650">
        <w:rPr>
          <w:vertAlign w:val="superscript"/>
        </w:rPr>
        <w:t>34</w:t>
      </w:r>
      <w:r>
        <w:t xml:space="preserve"> cm</w:t>
      </w:r>
      <w:r w:rsidRPr="00002650">
        <w:rPr>
          <w:vertAlign w:val="superscript"/>
        </w:rPr>
        <w:t>-</w:t>
      </w:r>
      <w:r w:rsidR="00867CFA">
        <w:rPr>
          <w:vertAlign w:val="superscript"/>
        </w:rPr>
        <w:t>2</w:t>
      </w:r>
      <w:r w:rsidR="00867CFA">
        <w:t xml:space="preserve"> </w:t>
      </w:r>
      <w:r>
        <w:t>s</w:t>
      </w:r>
      <w:r w:rsidRPr="00002650">
        <w:rPr>
          <w:vertAlign w:val="superscript"/>
        </w:rPr>
        <w:t>-1</w:t>
      </w:r>
      <w:r>
        <w:t xml:space="preserve"> luminosity to keep the </w:t>
      </w:r>
      <w:r w:rsidR="00D33B95">
        <w:t xml:space="preserve">coils at temperatures </w:t>
      </w:r>
      <w:r w:rsidR="0060375C">
        <w:t>at 2.0 K in the high field region, and below 2.7 K everywhere</w:t>
      </w:r>
      <w:r w:rsidR="00D33B95">
        <w:t xml:space="preserve"> (</w:t>
      </w:r>
      <w:r w:rsidR="00D33B95">
        <w:fldChar w:fldCharType="begin"/>
      </w:r>
      <w:r w:rsidR="00D33B95">
        <w:instrText xml:space="preserve"> REF _Ref403139987 \h </w:instrText>
      </w:r>
      <w:r w:rsidR="00D33B95">
        <w:fldChar w:fldCharType="separate"/>
      </w:r>
      <w:r w:rsidR="00D33B95">
        <w:t xml:space="preserve">Figure </w:t>
      </w:r>
      <w:r w:rsidR="00D33B95">
        <w:rPr>
          <w:noProof/>
        </w:rPr>
        <w:t>4</w:t>
      </w:r>
      <w:r w:rsidR="00D33B95">
        <w:fldChar w:fldCharType="end"/>
      </w:r>
      <w:r w:rsidR="00D33B95">
        <w:t>). This translates into</w:t>
      </w:r>
      <w:r w:rsidR="006470F3">
        <w:t xml:space="preserve"> a minimum temperature margin</w:t>
      </w:r>
      <w:r w:rsidR="00D33B95">
        <w:t xml:space="preserve"> of </w:t>
      </w:r>
      <w:r w:rsidR="006470F3">
        <w:t> </w:t>
      </w:r>
      <w:r w:rsidR="00D33B95">
        <w:t>2.4 </w:t>
      </w:r>
      <w:r w:rsidR="006470F3">
        <w:t>K (</w:t>
      </w:r>
      <w:r w:rsidR="00D33B95">
        <w:fldChar w:fldCharType="begin"/>
      </w:r>
      <w:r w:rsidR="00D33B95">
        <w:instrText xml:space="preserve"> REF _Ref403140046 \h </w:instrText>
      </w:r>
      <w:r w:rsidR="00D33B95">
        <w:fldChar w:fldCharType="separate"/>
      </w:r>
      <w:r w:rsidR="00D33B95">
        <w:t xml:space="preserve">Figure </w:t>
      </w:r>
      <w:r w:rsidR="00D33B95">
        <w:rPr>
          <w:noProof/>
        </w:rPr>
        <w:t>5</w:t>
      </w:r>
      <w:r w:rsidR="00D33B95">
        <w:fldChar w:fldCharType="end"/>
      </w:r>
      <w:r w:rsidR="006470F3">
        <w:t xml:space="preserve"> )</w:t>
      </w:r>
      <w:r>
        <w:t xml:space="preserve"> However these studies have to be updated and detailed to take into account the demand to su</w:t>
      </w:r>
      <w:r w:rsidR="00D33B95">
        <w:t>s</w:t>
      </w:r>
      <w:r>
        <w:t>tain 7.5</w:t>
      </w:r>
      <w:r w:rsidR="00867CFA">
        <w:sym w:font="Symbol" w:char="F0B4"/>
      </w:r>
      <w:r>
        <w:t>10</w:t>
      </w:r>
      <w:r w:rsidRPr="00002650">
        <w:rPr>
          <w:vertAlign w:val="superscript"/>
        </w:rPr>
        <w:t>34</w:t>
      </w:r>
      <w:r>
        <w:t xml:space="preserve"> cm</w:t>
      </w:r>
      <w:r w:rsidRPr="00002650">
        <w:rPr>
          <w:vertAlign w:val="superscript"/>
        </w:rPr>
        <w:t>-</w:t>
      </w:r>
      <w:r w:rsidR="00867CFA">
        <w:rPr>
          <w:vertAlign w:val="superscript"/>
        </w:rPr>
        <w:t>2</w:t>
      </w:r>
      <w:r w:rsidR="00867CFA">
        <w:t xml:space="preserve"> </w:t>
      </w:r>
      <w:r>
        <w:t>s</w:t>
      </w:r>
      <w:r w:rsidRPr="00002650">
        <w:rPr>
          <w:vertAlign w:val="superscript"/>
        </w:rPr>
        <w:t>-1</w:t>
      </w:r>
      <w:r>
        <w:t xml:space="preserve"> luminosity and the requirements for extra quench heaters in the </w:t>
      </w:r>
      <w:r w:rsidR="0060375C">
        <w:t xml:space="preserve">inner layer, which are located on the critical path for </w:t>
      </w:r>
      <w:r>
        <w:t xml:space="preserve">heat extraction. </w:t>
      </w:r>
      <w:r w:rsidR="006E2AD2">
        <w:t>The whole configuration must be sized such as to avoid any bottlenecks in the heat extraction paths</w:t>
      </w:r>
      <w:r w:rsidR="00791F84">
        <w:t xml:space="preserve">, in particular showing only marginal dependence on cold-source temperature. </w:t>
      </w:r>
      <w:r w:rsidR="00BD440D" w:rsidRPr="00BD440D">
        <w:t xml:space="preserve">A </w:t>
      </w:r>
      <w:r w:rsidR="00FC5B36">
        <w:t>dedicated</w:t>
      </w:r>
      <w:r w:rsidR="00BD440D" w:rsidRPr="00BD440D">
        <w:t xml:space="preserve"> thermal validation study of the heat extraction pathways from superconducting cable towards the heat-exchanger as function of the related magnet con</w:t>
      </w:r>
      <w:r w:rsidR="009440F6">
        <w:t xml:space="preserve">struction features </w:t>
      </w:r>
      <w:r w:rsidR="00FC5B36">
        <w:t xml:space="preserve">for the quadrupoles as well as D1 </w:t>
      </w:r>
      <w:r w:rsidR="009440F6">
        <w:t>is mandatory</w:t>
      </w:r>
      <w:r w:rsidR="00A206F5">
        <w:t>.</w:t>
      </w:r>
    </w:p>
    <w:p w:rsidR="00A206F5" w:rsidRDefault="00DE1A75" w:rsidP="00A206F5">
      <w:pPr>
        <w:keepNext/>
        <w:ind w:firstLine="709"/>
        <w:jc w:val="center"/>
      </w:pPr>
      <w:r>
        <w:rPr>
          <w:noProof/>
          <w:lang w:eastAsia="en-GB"/>
        </w:rPr>
        <w:drawing>
          <wp:inline distT="0" distB="0" distL="0" distR="0" wp14:anchorId="431F7C9B" wp14:editId="29FC1F1A">
            <wp:extent cx="5450271" cy="22923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6541" cy="2295034"/>
                    </a:xfrm>
                    <a:prstGeom prst="rect">
                      <a:avLst/>
                    </a:prstGeom>
                    <a:noFill/>
                  </pic:spPr>
                </pic:pic>
              </a:graphicData>
            </a:graphic>
          </wp:inline>
        </w:drawing>
      </w:r>
    </w:p>
    <w:p w:rsidR="00A206F5" w:rsidRDefault="00A206F5" w:rsidP="00A206F5">
      <w:pPr>
        <w:pStyle w:val="Caption"/>
      </w:pPr>
      <w:bookmarkStart w:id="17" w:name="_Ref403064350"/>
      <w:r>
        <w:t xml:space="preserve">Figure </w:t>
      </w:r>
      <w:r w:rsidR="00042E9D">
        <w:fldChar w:fldCharType="begin"/>
      </w:r>
      <w:r w:rsidR="00042E9D">
        <w:instrText xml:space="preserve"> SEQ Figure \* ARABIC </w:instrText>
      </w:r>
      <w:r w:rsidR="00042E9D">
        <w:fldChar w:fldCharType="separate"/>
      </w:r>
      <w:r w:rsidR="00D33B95">
        <w:rPr>
          <w:noProof/>
        </w:rPr>
        <w:t>3</w:t>
      </w:r>
      <w:r w:rsidR="00042E9D">
        <w:rPr>
          <w:noProof/>
        </w:rPr>
        <w:fldChar w:fldCharType="end"/>
      </w:r>
      <w:bookmarkEnd w:id="17"/>
      <w:r>
        <w:t>: heat flow paths from coil to one of the two-phase heat exchangers located in the upper right quadrant</w:t>
      </w:r>
    </w:p>
    <w:p w:rsidR="006470F3" w:rsidRDefault="006470F3" w:rsidP="006470F3"/>
    <w:p w:rsidR="00D33B95" w:rsidRDefault="006470F3" w:rsidP="00D33B95">
      <w:pPr>
        <w:keepNext/>
        <w:jc w:val="center"/>
      </w:pPr>
      <w:r>
        <w:rPr>
          <w:noProof/>
          <w:lang w:eastAsia="en-GB"/>
        </w:rPr>
        <w:lastRenderedPageBreak/>
        <w:drawing>
          <wp:inline distT="0" distB="0" distL="0" distR="0" wp14:anchorId="4841E549" wp14:editId="23060E3E">
            <wp:extent cx="5073806" cy="2798859"/>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olu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82727" cy="2803780"/>
                    </a:xfrm>
                    <a:prstGeom prst="rect">
                      <a:avLst/>
                    </a:prstGeom>
                  </pic:spPr>
                </pic:pic>
              </a:graphicData>
            </a:graphic>
          </wp:inline>
        </w:drawing>
      </w:r>
    </w:p>
    <w:p w:rsidR="006470F3" w:rsidRDefault="00D33B95" w:rsidP="00D33B95">
      <w:pPr>
        <w:pStyle w:val="Caption"/>
      </w:pPr>
      <w:bookmarkStart w:id="18" w:name="_Ref403139987"/>
      <w:r>
        <w:t xml:space="preserve">Figure </w:t>
      </w:r>
      <w:r w:rsidR="00042E9D">
        <w:fldChar w:fldCharType="begin"/>
      </w:r>
      <w:r w:rsidR="00042E9D">
        <w:instrText xml:space="preserve"> SEQ Figure \* ARABIC </w:instrText>
      </w:r>
      <w:r w:rsidR="00042E9D">
        <w:fldChar w:fldCharType="separate"/>
      </w:r>
      <w:r>
        <w:rPr>
          <w:noProof/>
        </w:rPr>
        <w:t>4</w:t>
      </w:r>
      <w:r w:rsidR="00042E9D">
        <w:rPr>
          <w:noProof/>
        </w:rPr>
        <w:fldChar w:fldCharType="end"/>
      </w:r>
      <w:bookmarkEnd w:id="18"/>
      <w:r>
        <w:t>: calculated temperature distribution for heat loads corresponding to L=5∙10</w:t>
      </w:r>
      <w:r w:rsidRPr="00002650">
        <w:rPr>
          <w:vertAlign w:val="superscript"/>
        </w:rPr>
        <w:t>34</w:t>
      </w:r>
      <w:r>
        <w:t xml:space="preserve"> cm</w:t>
      </w:r>
      <w:r w:rsidRPr="00002650">
        <w:rPr>
          <w:vertAlign w:val="superscript"/>
        </w:rPr>
        <w:t>-1</w:t>
      </w:r>
      <w:r>
        <w:t xml:space="preserve"> s</w:t>
      </w:r>
      <w:r w:rsidRPr="00002650">
        <w:rPr>
          <w:vertAlign w:val="superscript"/>
        </w:rPr>
        <w:t>-1</w:t>
      </w:r>
      <w:r>
        <w:t xml:space="preserve"> and cold source at 1.9 K, no quench heaters on inner layer</w:t>
      </w:r>
    </w:p>
    <w:p w:rsidR="00D33B95" w:rsidRDefault="00D33B95" w:rsidP="00D33B95">
      <w:pPr>
        <w:keepNext/>
      </w:pPr>
      <w:r>
        <w:rPr>
          <w:noProof/>
          <w:lang w:eastAsia="en-GB"/>
        </w:rPr>
        <w:drawing>
          <wp:inline distT="0" distB="0" distL="0" distR="0" wp14:anchorId="3A5D2981" wp14:editId="230E108F">
            <wp:extent cx="5768340" cy="3181985"/>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argi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8340" cy="3181985"/>
                    </a:xfrm>
                    <a:prstGeom prst="rect">
                      <a:avLst/>
                    </a:prstGeom>
                  </pic:spPr>
                </pic:pic>
              </a:graphicData>
            </a:graphic>
          </wp:inline>
        </w:drawing>
      </w:r>
    </w:p>
    <w:p w:rsidR="00D33B95" w:rsidRPr="00D33B95" w:rsidRDefault="00D33B95" w:rsidP="00D33B95">
      <w:pPr>
        <w:pStyle w:val="Caption"/>
        <w:jc w:val="both"/>
      </w:pPr>
      <w:bookmarkStart w:id="19" w:name="_Ref403140046"/>
      <w:r>
        <w:t xml:space="preserve">Figure </w:t>
      </w:r>
      <w:r w:rsidR="00042E9D">
        <w:fldChar w:fldCharType="begin"/>
      </w:r>
      <w:r w:rsidR="00042E9D">
        <w:instrText xml:space="preserve"> SEQ Figure \* ARABIC </w:instrText>
      </w:r>
      <w:r w:rsidR="00042E9D">
        <w:fldChar w:fldCharType="separate"/>
      </w:r>
      <w:r>
        <w:rPr>
          <w:noProof/>
        </w:rPr>
        <w:t>5</w:t>
      </w:r>
      <w:r w:rsidR="00042E9D">
        <w:rPr>
          <w:noProof/>
        </w:rPr>
        <w:fldChar w:fldCharType="end"/>
      </w:r>
      <w:bookmarkEnd w:id="19"/>
      <w:r>
        <w:t>: calculated resulting temperature margin due to heat loads corresponding to L=5∙10</w:t>
      </w:r>
      <w:r w:rsidRPr="00002650">
        <w:rPr>
          <w:vertAlign w:val="superscript"/>
        </w:rPr>
        <w:t>34</w:t>
      </w:r>
      <w:r>
        <w:t xml:space="preserve"> cm</w:t>
      </w:r>
      <w:r w:rsidRPr="00002650">
        <w:rPr>
          <w:vertAlign w:val="superscript"/>
        </w:rPr>
        <w:t>-1</w:t>
      </w:r>
      <w:r>
        <w:t xml:space="preserve"> s</w:t>
      </w:r>
      <w:r w:rsidRPr="00002650">
        <w:rPr>
          <w:vertAlign w:val="superscript"/>
        </w:rPr>
        <w:t>-1</w:t>
      </w:r>
      <w:r>
        <w:t xml:space="preserve"> and cold source at 1.9 K, no quench heaters on inner layer</w:t>
      </w:r>
    </w:p>
    <w:p w:rsidR="006470F3" w:rsidRDefault="006470F3" w:rsidP="006470F3"/>
    <w:p w:rsidR="00E00297" w:rsidRPr="00E00297" w:rsidRDefault="00E00297" w:rsidP="006470F3">
      <w:pPr>
        <w:ind w:firstLine="709"/>
        <w:rPr>
          <w:lang w:val="en-US"/>
        </w:rPr>
      </w:pPr>
      <w:r>
        <w:rPr>
          <w:lang w:val="en-US"/>
        </w:rPr>
        <w:fldChar w:fldCharType="begin"/>
      </w:r>
      <w:r>
        <w:rPr>
          <w:lang w:val="en-US"/>
        </w:rPr>
        <w:instrText xml:space="preserve"> REF _Ref403136737 \h </w:instrText>
      </w:r>
      <w:r>
        <w:rPr>
          <w:lang w:val="en-US"/>
        </w:rPr>
      </w:r>
      <w:r>
        <w:rPr>
          <w:lang w:val="en-US"/>
        </w:rPr>
        <w:fldChar w:fldCharType="separate"/>
      </w:r>
      <w:r>
        <w:t xml:space="preserve">Table </w:t>
      </w:r>
      <w:r>
        <w:rPr>
          <w:noProof/>
        </w:rPr>
        <w:t>1</w:t>
      </w:r>
      <w:r>
        <w:rPr>
          <w:lang w:val="en-US"/>
        </w:rPr>
        <w:fldChar w:fldCharType="end"/>
      </w:r>
      <w:r>
        <w:rPr>
          <w:lang w:val="en-US"/>
        </w:rPr>
        <w:t xml:space="preserve"> summarizes the cold mass, heat extraction specific sizing requirements, as known up to now.</w:t>
      </w:r>
      <w:r w:rsidR="00400736">
        <w:rPr>
          <w:lang w:val="en-US"/>
        </w:rPr>
        <w:t xml:space="preserve"> The radial passage requirements are subject to further detailing pending the validation studies for ultimate luminosity conditions and chosen quench heater implementation.</w:t>
      </w:r>
    </w:p>
    <w:p w:rsidR="00E00297" w:rsidRDefault="00400736" w:rsidP="00E00297">
      <w:pPr>
        <w:pStyle w:val="CEC-ICMCBody"/>
        <w:keepNext/>
        <w:jc w:val="center"/>
      </w:pPr>
      <w:r w:rsidRPr="00400736">
        <w:rPr>
          <w:noProof/>
          <w:lang w:val="en-GB" w:eastAsia="en-GB"/>
        </w:rPr>
        <w:lastRenderedPageBreak/>
        <w:drawing>
          <wp:inline distT="0" distB="0" distL="0" distR="0" wp14:anchorId="6D9DF77E" wp14:editId="602C89CB">
            <wp:extent cx="5768340" cy="200309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8340" cy="2003090"/>
                    </a:xfrm>
                    <a:prstGeom prst="rect">
                      <a:avLst/>
                    </a:prstGeom>
                    <a:noFill/>
                    <a:ln>
                      <a:noFill/>
                    </a:ln>
                  </pic:spPr>
                </pic:pic>
              </a:graphicData>
            </a:graphic>
          </wp:inline>
        </w:drawing>
      </w:r>
    </w:p>
    <w:p w:rsidR="001542FC" w:rsidRPr="00D33B95" w:rsidRDefault="00E00297" w:rsidP="00D33B95">
      <w:pPr>
        <w:pStyle w:val="Caption"/>
        <w:rPr>
          <w:lang w:val="en-US"/>
        </w:rPr>
      </w:pPr>
      <w:bookmarkStart w:id="20" w:name="_Ref403136737"/>
      <w:proofErr w:type="gramStart"/>
      <w:r>
        <w:t xml:space="preserve">Table </w:t>
      </w:r>
      <w:r w:rsidR="00042E9D">
        <w:fldChar w:fldCharType="begin"/>
      </w:r>
      <w:r w:rsidR="00042E9D">
        <w:instrText xml:space="preserve"> SEQ Table \* ARABIC </w:instrText>
      </w:r>
      <w:r w:rsidR="00042E9D">
        <w:fldChar w:fldCharType="separate"/>
      </w:r>
      <w:r>
        <w:rPr>
          <w:noProof/>
        </w:rPr>
        <w:t>1</w:t>
      </w:r>
      <w:r w:rsidR="00042E9D">
        <w:rPr>
          <w:noProof/>
        </w:rPr>
        <w:fldChar w:fldCharType="end"/>
      </w:r>
      <w:bookmarkEnd w:id="20"/>
      <w:r>
        <w:t xml:space="preserve">: </w:t>
      </w:r>
      <w:r w:rsidRPr="00095C87">
        <w:t>Cold mass, heat extraction specific, sizing requirements.</w:t>
      </w:r>
      <w:proofErr w:type="gramEnd"/>
    </w:p>
    <w:p w:rsidR="00D8714E" w:rsidRDefault="00D8714E" w:rsidP="00795F57">
      <w:pPr>
        <w:pStyle w:val="Heading1"/>
        <w:rPr>
          <w:lang w:eastAsia="en-US"/>
        </w:rPr>
      </w:pPr>
      <w:bookmarkStart w:id="21" w:name="_Toc403140424"/>
      <w:r>
        <w:rPr>
          <w:lang w:eastAsia="en-US"/>
        </w:rPr>
        <w:t>Conclusion</w:t>
      </w:r>
      <w:r w:rsidR="00F06FA6">
        <w:rPr>
          <w:lang w:eastAsia="en-US"/>
        </w:rPr>
        <w:t>s</w:t>
      </w:r>
      <w:bookmarkEnd w:id="21"/>
    </w:p>
    <w:p w:rsidR="00924FBC" w:rsidRDefault="00B45708" w:rsidP="00400736">
      <w:pPr>
        <w:ind w:firstLine="709"/>
      </w:pPr>
      <w:r>
        <w:t>T</w:t>
      </w:r>
      <w:r w:rsidRPr="00B45708">
        <w:t xml:space="preserve">he </w:t>
      </w:r>
      <w:r w:rsidR="00400736">
        <w:t xml:space="preserve">requirements to be imposed on the cold mass design to enable cooling the inner triplets by superfluid helium have been </w:t>
      </w:r>
      <w:r w:rsidR="0060375C">
        <w:t xml:space="preserve">integrated in the magnet design since the early stage of the design study. With the present baseline, they </w:t>
      </w:r>
      <w:r w:rsidR="00400736">
        <w:t xml:space="preserve">fall </w:t>
      </w:r>
      <w:r w:rsidR="00400736" w:rsidRPr="00400736">
        <w:t xml:space="preserve">within the scope of integration in the magnet and cryostat design. </w:t>
      </w:r>
      <w:r w:rsidR="004819A9">
        <w:t>Considering that the cryogenic infrastructure needed is similar to a proven LHC configuration</w:t>
      </w:r>
      <w:r w:rsidR="00571A66">
        <w:t>,</w:t>
      </w:r>
      <w:r w:rsidR="004819A9">
        <w:t xml:space="preserve"> the superfluid helium cooled option constitutes a viable solution. </w:t>
      </w:r>
      <w:r w:rsidR="00400736" w:rsidRPr="00400736">
        <w:t xml:space="preserve">Areas </w:t>
      </w:r>
      <w:r w:rsidR="00400736">
        <w:t xml:space="preserve">of further </w:t>
      </w:r>
      <w:r w:rsidR="004819A9">
        <w:t xml:space="preserve">cold mass specific </w:t>
      </w:r>
      <w:r w:rsidR="00400736">
        <w:t xml:space="preserve">study are identified, specifically related </w:t>
      </w:r>
      <w:r w:rsidR="00DE553E">
        <w:t xml:space="preserve">to </w:t>
      </w:r>
      <w:r w:rsidR="00400736">
        <w:t>take into account the demand to sustain 7.5</w:t>
      </w:r>
      <w:r w:rsidR="0060375C">
        <w:sym w:font="Symbol" w:char="F0B4"/>
      </w:r>
      <w:r w:rsidR="00400736">
        <w:t>10</w:t>
      </w:r>
      <w:r w:rsidR="00400736" w:rsidRPr="00002650">
        <w:rPr>
          <w:vertAlign w:val="superscript"/>
        </w:rPr>
        <w:t>34</w:t>
      </w:r>
      <w:r w:rsidR="00400736">
        <w:t xml:space="preserve"> cm</w:t>
      </w:r>
      <w:r w:rsidR="00400736" w:rsidRPr="00002650">
        <w:rPr>
          <w:vertAlign w:val="superscript"/>
        </w:rPr>
        <w:t>-</w:t>
      </w:r>
      <w:r w:rsidR="0060375C">
        <w:rPr>
          <w:vertAlign w:val="superscript"/>
        </w:rPr>
        <w:t>2</w:t>
      </w:r>
      <w:r w:rsidR="0060375C">
        <w:t xml:space="preserve"> </w:t>
      </w:r>
      <w:r w:rsidR="00400736">
        <w:t>s</w:t>
      </w:r>
      <w:r w:rsidR="00400736" w:rsidRPr="00002650">
        <w:rPr>
          <w:vertAlign w:val="superscript"/>
        </w:rPr>
        <w:t>-1</w:t>
      </w:r>
      <w:r w:rsidR="00400736">
        <w:t xml:space="preserve"> luminosity and the requirements for extra quench heaters in the heat extraction path. The whole configuration must be sized such as to a</w:t>
      </w:r>
      <w:r w:rsidR="00DE553E">
        <w:t>ssure absence of</w:t>
      </w:r>
      <w:r w:rsidR="00400736">
        <w:t xml:space="preserve"> any bottlenecks in the heat extraction paths, in particular showing only marginal dependence on cold-source temperature.</w:t>
      </w:r>
    </w:p>
    <w:p w:rsidR="00F06FA6" w:rsidRDefault="00F06FA6" w:rsidP="00D8714E"/>
    <w:p w:rsidR="00F06FA6" w:rsidRDefault="00756C76" w:rsidP="00795F57">
      <w:pPr>
        <w:pStyle w:val="Heading1"/>
      </w:pPr>
      <w:bookmarkStart w:id="22" w:name="_Toc403140425"/>
      <w:r>
        <w:t>References</w:t>
      </w:r>
      <w:bookmarkEnd w:id="22"/>
    </w:p>
    <w:p w:rsidR="00F06FA6" w:rsidRDefault="00756C76" w:rsidP="00F06FA6">
      <w:pPr>
        <w:pStyle w:val="CEC-ICMCBody"/>
      </w:pPr>
      <w:r>
        <w:t>[1</w:t>
      </w:r>
      <w:r w:rsidR="00F06FA6">
        <w:t xml:space="preserve">] </w:t>
      </w:r>
      <w:r w:rsidR="00F06FA6" w:rsidRPr="0055495B">
        <w:rPr>
          <w:i/>
        </w:rPr>
        <w:t>High Luminosity Large Hadron Collider A description for the European Strategy Preparatory Group</w:t>
      </w:r>
      <w:r w:rsidR="00F06FA6">
        <w:t xml:space="preserve">, </w:t>
      </w:r>
      <w:r w:rsidR="00F06FA6" w:rsidRPr="0055495B">
        <w:t>Ros</w:t>
      </w:r>
      <w:r w:rsidR="00F06FA6">
        <w:t xml:space="preserve">si, L.; </w:t>
      </w:r>
      <w:proofErr w:type="spellStart"/>
      <w:r w:rsidR="00F06FA6">
        <w:t>Brüning</w:t>
      </w:r>
      <w:proofErr w:type="spellEnd"/>
      <w:r w:rsidR="00F06FA6">
        <w:t xml:space="preserve">, O., </w:t>
      </w:r>
      <w:r w:rsidR="00F06FA6" w:rsidRPr="0055495B">
        <w:t>CERN-ATS-2012-236</w:t>
      </w:r>
    </w:p>
    <w:p w:rsidR="00F06FA6" w:rsidRDefault="00F06FA6" w:rsidP="00F06FA6">
      <w:pPr>
        <w:pStyle w:val="CEC-ICMCBody"/>
      </w:pPr>
      <w:r>
        <w:t xml:space="preserve">[2] </w:t>
      </w:r>
      <w:proofErr w:type="spellStart"/>
      <w:r w:rsidRPr="003847AC">
        <w:rPr>
          <w:i/>
        </w:rPr>
        <w:t>Fluka</w:t>
      </w:r>
      <w:proofErr w:type="spellEnd"/>
      <w:r w:rsidRPr="003847AC">
        <w:rPr>
          <w:i/>
        </w:rPr>
        <w:t xml:space="preserve"> Energy Deposition Studies for </w:t>
      </w:r>
      <w:proofErr w:type="gramStart"/>
      <w:r w:rsidRPr="003847AC">
        <w:rPr>
          <w:i/>
        </w:rPr>
        <w:t>The</w:t>
      </w:r>
      <w:proofErr w:type="gramEnd"/>
      <w:r w:rsidRPr="003847AC">
        <w:rPr>
          <w:i/>
        </w:rPr>
        <w:t xml:space="preserve"> HL-LHC</w:t>
      </w:r>
      <w:r>
        <w:t>, Esposito L.S.; Cerutti F.; Todesco, E., 2013 International Particle Accelerator Conference (IPAC'13), May 13-17, 2013, Shanghai, China</w:t>
      </w:r>
    </w:p>
    <w:p w:rsidR="00F06FA6" w:rsidRDefault="00F06FA6" w:rsidP="00F06FA6">
      <w:pPr>
        <w:pStyle w:val="CEC-ICMCBody"/>
      </w:pPr>
      <w:r>
        <w:t xml:space="preserve">[3] </w:t>
      </w:r>
      <w:r>
        <w:rPr>
          <w:i/>
        </w:rPr>
        <w:t>Design Studies for the Low-Beta Quadrupoles for the LHC L</w:t>
      </w:r>
      <w:r w:rsidRPr="000115B9">
        <w:rPr>
          <w:i/>
        </w:rPr>
        <w:t xml:space="preserve">uminosity </w:t>
      </w:r>
      <w:r>
        <w:rPr>
          <w:i/>
        </w:rPr>
        <w:t>U</w:t>
      </w:r>
      <w:r w:rsidRPr="000115B9">
        <w:rPr>
          <w:i/>
        </w:rPr>
        <w:t>pgrade</w:t>
      </w:r>
      <w:r>
        <w:t xml:space="preserve">, Todesco E., Allain H., Ambrosio G., Borgnolutti F., Cerutti F., </w:t>
      </w:r>
      <w:proofErr w:type="spellStart"/>
      <w:r>
        <w:t>Diedtrich</w:t>
      </w:r>
      <w:proofErr w:type="spellEnd"/>
      <w:r>
        <w:t xml:space="preserve"> D., Esposito L., Felice H., Ferracin P., </w:t>
      </w:r>
      <w:proofErr w:type="spellStart"/>
      <w:r>
        <w:t>Sabbi</w:t>
      </w:r>
      <w:proofErr w:type="spellEnd"/>
      <w:r>
        <w:t xml:space="preserve"> G., Wanderer P., van Weelderen R., Applied Superconductivity, IEEE, Volume 23 (2013)</w:t>
      </w:r>
    </w:p>
    <w:p w:rsidR="00DE553E" w:rsidRPr="00387242" w:rsidRDefault="00DE553E" w:rsidP="00DE553E">
      <w:pPr>
        <w:pStyle w:val="CEC-ICMCBody"/>
      </w:pPr>
      <w:r>
        <w:t xml:space="preserve">[4] </w:t>
      </w:r>
      <w:r w:rsidRPr="00DE553E">
        <w:rPr>
          <w:i/>
        </w:rPr>
        <w:t>S</w:t>
      </w:r>
      <w:r>
        <w:rPr>
          <w:i/>
        </w:rPr>
        <w:t>tudy of the Supercritical He Cooling</w:t>
      </w:r>
      <w:r w:rsidRPr="00DE553E">
        <w:rPr>
          <w:i/>
        </w:rPr>
        <w:t>: MS41</w:t>
      </w:r>
    </w:p>
    <w:p w:rsidR="00F06FA6" w:rsidRDefault="00F06FA6" w:rsidP="00F06FA6">
      <w:pPr>
        <w:pStyle w:val="CEC-ICMCBody"/>
      </w:pPr>
      <w:r>
        <w:t xml:space="preserve">[5] </w:t>
      </w:r>
      <w:r w:rsidRPr="00387242">
        <w:rPr>
          <w:i/>
        </w:rPr>
        <w:t>The Cryogenic Design of the Phase I Upgrade Inner Triplet Magnets for LHC</w:t>
      </w:r>
      <w:r>
        <w:t xml:space="preserve">, van Weelderen, R.; </w:t>
      </w:r>
      <w:proofErr w:type="spellStart"/>
      <w:r>
        <w:t>Vullierme</w:t>
      </w:r>
      <w:proofErr w:type="spellEnd"/>
      <w:r>
        <w:t>, B.</w:t>
      </w:r>
      <w:r w:rsidRPr="00387242">
        <w:t>; Peterson, T</w:t>
      </w:r>
      <w:r>
        <w:t xml:space="preserve">., </w:t>
      </w:r>
      <w:r w:rsidRPr="00387242">
        <w:t>23rd International Cryogenic Engineering Conference, Wroclaw, Poland, 19 - 23 Jul 2010</w:t>
      </w:r>
    </w:p>
    <w:p w:rsidR="00F06FA6" w:rsidRPr="00D8714E" w:rsidRDefault="00F06FA6" w:rsidP="00571A66">
      <w:pPr>
        <w:pStyle w:val="CEC-ICMCBody"/>
      </w:pPr>
      <w:r>
        <w:t xml:space="preserve">[6] </w:t>
      </w:r>
      <w:r w:rsidRPr="003272CA">
        <w:rPr>
          <w:i/>
        </w:rPr>
        <w:t>Cooling Strings of Superconducting Devices below 2 K: The Helium II Bayonet Heat Exchanger</w:t>
      </w:r>
      <w:r>
        <w:t xml:space="preserve">, Lebrun Ph.; Serio L.; Tavian L.; van Weelderen, R., Adv. </w:t>
      </w:r>
      <w:proofErr w:type="spellStart"/>
      <w:r>
        <w:t>Cryog</w:t>
      </w:r>
      <w:proofErr w:type="spellEnd"/>
      <w:r>
        <w:t>. Eng., A: 43 (1998)</w:t>
      </w:r>
    </w:p>
    <w:sectPr w:rsidR="00F06FA6" w:rsidRPr="00D8714E" w:rsidSect="009B0B3A">
      <w:headerReference w:type="default" r:id="rId19"/>
      <w:footerReference w:type="default" r:id="rId20"/>
      <w:headerReference w:type="first" r:id="rId21"/>
      <w:footerReference w:type="first" r:id="rId22"/>
      <w:pgSz w:w="11906" w:h="16838"/>
      <w:pgMar w:top="1411" w:right="1411" w:bottom="1411" w:left="1411"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F1C" w:rsidRDefault="00173F1C">
      <w:r>
        <w:separator/>
      </w:r>
    </w:p>
  </w:endnote>
  <w:endnote w:type="continuationSeparator" w:id="0">
    <w:p w:rsidR="00173F1C" w:rsidRDefault="00173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008DBC"/>
      </w:tblBorders>
      <w:tblLayout w:type="fixed"/>
      <w:tblCellMar>
        <w:left w:w="70" w:type="dxa"/>
        <w:right w:w="70" w:type="dxa"/>
      </w:tblCellMar>
      <w:tblLook w:val="0000" w:firstRow="0" w:lastRow="0" w:firstColumn="0" w:lastColumn="0" w:noHBand="0" w:noVBand="0"/>
    </w:tblPr>
    <w:tblGrid>
      <w:gridCol w:w="3075"/>
      <w:gridCol w:w="3074"/>
      <w:gridCol w:w="3075"/>
    </w:tblGrid>
    <w:tr w:rsidR="00D33B95" w:rsidTr="00952962">
      <w:tc>
        <w:tcPr>
          <w:tcW w:w="3053" w:type="dxa"/>
        </w:tcPr>
        <w:p w:rsidR="00D33B95" w:rsidRPr="00CB73A2" w:rsidRDefault="00D33B95" w:rsidP="008A79D8">
          <w:pPr>
            <w:pStyle w:val="Footer"/>
            <w:rPr>
              <w:sz w:val="20"/>
            </w:rPr>
          </w:pPr>
          <w:r w:rsidRPr="00CB73A2">
            <w:rPr>
              <w:color w:val="000000"/>
              <w:sz w:val="20"/>
            </w:rPr>
            <w:t xml:space="preserve">Grant Agreement </w:t>
          </w:r>
          <w:r>
            <w:rPr>
              <w:color w:val="000000"/>
              <w:sz w:val="20"/>
            </w:rPr>
            <w:t>284404</w:t>
          </w:r>
        </w:p>
      </w:tc>
      <w:tc>
        <w:tcPr>
          <w:tcW w:w="3053" w:type="dxa"/>
        </w:tcPr>
        <w:p w:rsidR="00D33B95" w:rsidRPr="00CB73A2" w:rsidRDefault="00D33B95">
          <w:pPr>
            <w:pStyle w:val="Footer"/>
            <w:jc w:val="center"/>
            <w:rPr>
              <w:caps/>
              <w:sz w:val="20"/>
            </w:rPr>
          </w:pPr>
          <w:r w:rsidRPr="00D8714E">
            <w:rPr>
              <w:color w:val="000000"/>
              <w:sz w:val="20"/>
            </w:rPr>
            <w:t>PUBLIC</w:t>
          </w:r>
          <w:r w:rsidRPr="00CB73A2">
            <w:rPr>
              <w:sz w:val="20"/>
            </w:rPr>
            <w:t xml:space="preserve"> </w:t>
          </w:r>
        </w:p>
      </w:tc>
      <w:tc>
        <w:tcPr>
          <w:tcW w:w="3054" w:type="dxa"/>
        </w:tcPr>
        <w:p w:rsidR="00D33B95" w:rsidRPr="00CB73A2" w:rsidRDefault="00D33B95">
          <w:pPr>
            <w:pStyle w:val="Footer"/>
            <w:jc w:val="right"/>
            <w:rPr>
              <w:sz w:val="20"/>
            </w:rPr>
          </w:pPr>
          <w:r w:rsidRPr="00CB73A2">
            <w:rPr>
              <w:sz w:val="20"/>
            </w:rPr>
            <w:fldChar w:fldCharType="begin"/>
          </w:r>
          <w:r w:rsidRPr="00CB73A2">
            <w:rPr>
              <w:sz w:val="20"/>
            </w:rPr>
            <w:instrText xml:space="preserve"> PAGE  \* MERGEFORMAT </w:instrText>
          </w:r>
          <w:r w:rsidRPr="00CB73A2">
            <w:rPr>
              <w:sz w:val="20"/>
            </w:rPr>
            <w:fldChar w:fldCharType="separate"/>
          </w:r>
          <w:r w:rsidR="00042E9D">
            <w:rPr>
              <w:noProof/>
              <w:sz w:val="20"/>
            </w:rPr>
            <w:t>4</w:t>
          </w:r>
          <w:r w:rsidRPr="00CB73A2">
            <w:rPr>
              <w:sz w:val="20"/>
            </w:rPr>
            <w:fldChar w:fldCharType="end"/>
          </w:r>
          <w:r w:rsidRPr="00CB73A2">
            <w:rPr>
              <w:sz w:val="20"/>
            </w:rPr>
            <w:t xml:space="preserve"> / </w:t>
          </w:r>
          <w:r w:rsidRPr="00CB73A2">
            <w:rPr>
              <w:sz w:val="20"/>
            </w:rPr>
            <w:fldChar w:fldCharType="begin"/>
          </w:r>
          <w:r w:rsidRPr="00CB73A2">
            <w:rPr>
              <w:sz w:val="20"/>
            </w:rPr>
            <w:instrText xml:space="preserve"> NUMPAGES  \* MERGEFORMAT </w:instrText>
          </w:r>
          <w:r w:rsidRPr="00CB73A2">
            <w:rPr>
              <w:sz w:val="20"/>
            </w:rPr>
            <w:fldChar w:fldCharType="separate"/>
          </w:r>
          <w:r w:rsidR="00042E9D">
            <w:rPr>
              <w:noProof/>
              <w:sz w:val="20"/>
            </w:rPr>
            <w:t>8</w:t>
          </w:r>
          <w:r w:rsidRPr="00CB73A2">
            <w:rPr>
              <w:sz w:val="20"/>
            </w:rPr>
            <w:fldChar w:fldCharType="end"/>
          </w:r>
        </w:p>
      </w:tc>
    </w:tr>
  </w:tbl>
  <w:p w:rsidR="00D33B95" w:rsidRDefault="00D33B95" w:rsidP="00A21E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008DBC"/>
      </w:tblBorders>
      <w:tblLayout w:type="fixed"/>
      <w:tblCellMar>
        <w:left w:w="70" w:type="dxa"/>
        <w:right w:w="70" w:type="dxa"/>
      </w:tblCellMar>
      <w:tblLook w:val="04A0" w:firstRow="1" w:lastRow="0" w:firstColumn="1" w:lastColumn="0" w:noHBand="0" w:noVBand="1"/>
    </w:tblPr>
    <w:tblGrid>
      <w:gridCol w:w="3075"/>
      <w:gridCol w:w="3074"/>
      <w:gridCol w:w="3075"/>
    </w:tblGrid>
    <w:tr w:rsidR="00D33B95" w:rsidTr="002D656F">
      <w:tc>
        <w:tcPr>
          <w:tcW w:w="3053" w:type="dxa"/>
          <w:tcBorders>
            <w:top w:val="single" w:sz="8" w:space="0" w:color="008DBC"/>
            <w:left w:val="nil"/>
            <w:bottom w:val="nil"/>
            <w:right w:val="nil"/>
          </w:tcBorders>
          <w:hideMark/>
        </w:tcPr>
        <w:p w:rsidR="00D33B95" w:rsidRDefault="00D33B95" w:rsidP="002D656F">
          <w:pPr>
            <w:pStyle w:val="Footer"/>
            <w:rPr>
              <w:sz w:val="20"/>
            </w:rPr>
          </w:pPr>
          <w:r>
            <w:rPr>
              <w:color w:val="000000"/>
              <w:sz w:val="20"/>
            </w:rPr>
            <w:t>Grant Agreement 284404</w:t>
          </w:r>
        </w:p>
      </w:tc>
      <w:tc>
        <w:tcPr>
          <w:tcW w:w="3053" w:type="dxa"/>
          <w:tcBorders>
            <w:top w:val="single" w:sz="8" w:space="0" w:color="008DBC"/>
            <w:left w:val="nil"/>
            <w:bottom w:val="nil"/>
            <w:right w:val="nil"/>
          </w:tcBorders>
          <w:hideMark/>
        </w:tcPr>
        <w:p w:rsidR="00D33B95" w:rsidRDefault="00D33B95" w:rsidP="002D656F">
          <w:pPr>
            <w:pStyle w:val="Footer"/>
            <w:jc w:val="center"/>
            <w:rPr>
              <w:caps/>
              <w:sz w:val="20"/>
            </w:rPr>
          </w:pPr>
          <w:r>
            <w:rPr>
              <w:caps/>
              <w:sz w:val="20"/>
              <w:shd w:val="clear" w:color="auto" w:fill="FFFF00"/>
            </w:rPr>
            <w:t>PUBLIC</w:t>
          </w:r>
          <w:r>
            <w:rPr>
              <w:sz w:val="20"/>
            </w:rPr>
            <w:t xml:space="preserve"> </w:t>
          </w:r>
        </w:p>
      </w:tc>
      <w:tc>
        <w:tcPr>
          <w:tcW w:w="3054" w:type="dxa"/>
          <w:tcBorders>
            <w:top w:val="single" w:sz="8" w:space="0" w:color="008DBC"/>
            <w:left w:val="nil"/>
            <w:bottom w:val="nil"/>
            <w:right w:val="nil"/>
          </w:tcBorders>
          <w:hideMark/>
        </w:tcPr>
        <w:p w:rsidR="00D33B95" w:rsidRDefault="00D33B95" w:rsidP="002D656F">
          <w:pPr>
            <w:pStyle w:val="Footer"/>
            <w:jc w:val="right"/>
            <w:rPr>
              <w:sz w:val="20"/>
            </w:rPr>
          </w:pPr>
          <w:r>
            <w:rPr>
              <w:sz w:val="20"/>
            </w:rPr>
            <w:fldChar w:fldCharType="begin"/>
          </w:r>
          <w:r>
            <w:rPr>
              <w:sz w:val="20"/>
            </w:rPr>
            <w:instrText xml:space="preserve"> PAGE  \* MERGEFORMAT </w:instrText>
          </w:r>
          <w:r>
            <w:rPr>
              <w:sz w:val="20"/>
            </w:rPr>
            <w:fldChar w:fldCharType="separate"/>
          </w:r>
          <w:r w:rsidR="00042E9D">
            <w:rPr>
              <w:noProof/>
              <w:sz w:val="20"/>
            </w:rPr>
            <w:t>1</w:t>
          </w:r>
          <w:r>
            <w:rPr>
              <w:sz w:val="20"/>
            </w:rPr>
            <w:fldChar w:fldCharType="end"/>
          </w:r>
          <w:r>
            <w:rPr>
              <w:sz w:val="20"/>
            </w:rPr>
            <w:t xml:space="preserve"> / </w:t>
          </w:r>
          <w:r>
            <w:rPr>
              <w:sz w:val="20"/>
            </w:rPr>
            <w:fldChar w:fldCharType="begin"/>
          </w:r>
          <w:r>
            <w:rPr>
              <w:sz w:val="20"/>
            </w:rPr>
            <w:instrText xml:space="preserve"> NUMPAGES  \* MERGEFORMAT </w:instrText>
          </w:r>
          <w:r>
            <w:rPr>
              <w:sz w:val="20"/>
            </w:rPr>
            <w:fldChar w:fldCharType="separate"/>
          </w:r>
          <w:r w:rsidR="00042E9D">
            <w:rPr>
              <w:noProof/>
              <w:sz w:val="20"/>
            </w:rPr>
            <w:t>8</w:t>
          </w:r>
          <w:r>
            <w:rPr>
              <w:sz w:val="20"/>
            </w:rPr>
            <w:fldChar w:fldCharType="end"/>
          </w:r>
        </w:p>
      </w:tc>
    </w:tr>
  </w:tbl>
  <w:p w:rsidR="00D33B95" w:rsidRDefault="00D33B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F1C" w:rsidRDefault="00173F1C">
      <w:r>
        <w:separator/>
      </w:r>
    </w:p>
  </w:footnote>
  <w:footnote w:type="continuationSeparator" w:id="0">
    <w:p w:rsidR="00173F1C" w:rsidRDefault="00173F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70" w:type="dxa"/>
        <w:right w:w="70" w:type="dxa"/>
      </w:tblCellMar>
      <w:tblLook w:val="0000" w:firstRow="0" w:lastRow="0" w:firstColumn="0" w:lastColumn="0" w:noHBand="0" w:noVBand="0"/>
    </w:tblPr>
    <w:tblGrid>
      <w:gridCol w:w="2055"/>
      <w:gridCol w:w="4575"/>
      <w:gridCol w:w="2594"/>
    </w:tblGrid>
    <w:tr w:rsidR="00D33B95" w:rsidRPr="001F3EBD" w:rsidTr="00056BE3">
      <w:trPr>
        <w:cantSplit/>
        <w:jc w:val="center"/>
      </w:trPr>
      <w:tc>
        <w:tcPr>
          <w:tcW w:w="2055" w:type="dxa"/>
          <w:vMerge w:val="restart"/>
          <w:tcBorders>
            <w:bottom w:val="single" w:sz="8" w:space="0" w:color="000080"/>
          </w:tcBorders>
        </w:tcPr>
        <w:p w:rsidR="00D33B95" w:rsidRDefault="00D33B95">
          <w:pPr>
            <w:pStyle w:val="Header"/>
            <w:jc w:val="center"/>
          </w:pPr>
          <w:r>
            <w:rPr>
              <w:noProof/>
              <w:lang w:eastAsia="en-GB"/>
            </w:rPr>
            <w:drawing>
              <wp:inline distT="0" distB="0" distL="0" distR="0">
                <wp:extent cx="1144905" cy="556895"/>
                <wp:effectExtent l="0" t="0" r="0" b="0"/>
                <wp:docPr id="7" name="Picture 7" descr="SmallHiLum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llHiLumi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905" cy="556895"/>
                        </a:xfrm>
                        <a:prstGeom prst="rect">
                          <a:avLst/>
                        </a:prstGeom>
                        <a:noFill/>
                        <a:ln>
                          <a:noFill/>
                        </a:ln>
                      </pic:spPr>
                    </pic:pic>
                  </a:graphicData>
                </a:graphic>
              </wp:inline>
            </w:drawing>
          </w:r>
        </w:p>
      </w:tc>
      <w:tc>
        <w:tcPr>
          <w:tcW w:w="4575" w:type="dxa"/>
          <w:vMerge w:val="restart"/>
          <w:tcBorders>
            <w:bottom w:val="single" w:sz="4" w:space="0" w:color="auto"/>
          </w:tcBorders>
          <w:vAlign w:val="center"/>
        </w:tcPr>
        <w:p w:rsidR="00D33B95" w:rsidRPr="00952962" w:rsidRDefault="00D33B95" w:rsidP="001F3EBD">
          <w:pPr>
            <w:pStyle w:val="Header"/>
            <w:spacing w:before="0" w:after="0"/>
            <w:jc w:val="center"/>
            <w:rPr>
              <w:b/>
              <w:caps/>
            </w:rPr>
          </w:pPr>
          <w:r w:rsidRPr="00952962">
            <w:rPr>
              <w:rFonts w:ascii="Times New Roman Bold" w:hAnsi="Times New Roman Bold"/>
              <w:b/>
              <w:caps/>
            </w:rPr>
            <w:fldChar w:fldCharType="begin"/>
          </w:r>
          <w:r w:rsidRPr="00952962">
            <w:rPr>
              <w:rFonts w:ascii="Times New Roman Bold" w:hAnsi="Times New Roman Bold"/>
              <w:b/>
              <w:caps/>
            </w:rPr>
            <w:instrText xml:space="preserve"> STYLEREF DocTitle \* MERGEFORMAT </w:instrText>
          </w:r>
          <w:r w:rsidRPr="00952962">
            <w:rPr>
              <w:rFonts w:ascii="Times New Roman Bold" w:hAnsi="Times New Roman Bold"/>
              <w:b/>
              <w:caps/>
            </w:rPr>
            <w:fldChar w:fldCharType="separate"/>
          </w:r>
          <w:r w:rsidR="00042E9D" w:rsidRPr="00042E9D">
            <w:rPr>
              <w:rFonts w:ascii="Times New Roman Bold" w:hAnsi="Times New Roman Bold"/>
              <w:b/>
              <w:caps/>
              <w:noProof/>
              <w:lang w:val="en-US"/>
            </w:rPr>
            <w:t xml:space="preserve">Study </w:t>
          </w:r>
          <w:r w:rsidR="00042E9D" w:rsidRPr="00042E9D">
            <w:rPr>
              <w:b/>
              <w:caps/>
              <w:noProof/>
            </w:rPr>
            <w:t>of the Superfluid He</w:t>
          </w:r>
          <w:r w:rsidR="00042E9D">
            <w:rPr>
              <w:rFonts w:ascii="Times New Roman Bold" w:hAnsi="Times New Roman Bold"/>
              <w:b/>
              <w:caps/>
              <w:noProof/>
            </w:rPr>
            <w:t xml:space="preserve"> Cooling</w:t>
          </w:r>
          <w:r w:rsidRPr="00952962">
            <w:rPr>
              <w:b/>
              <w:caps/>
            </w:rPr>
            <w:fldChar w:fldCharType="end"/>
          </w:r>
        </w:p>
      </w:tc>
      <w:tc>
        <w:tcPr>
          <w:tcW w:w="2594" w:type="dxa"/>
        </w:tcPr>
        <w:p w:rsidR="00D33B95" w:rsidRPr="001F3EBD" w:rsidRDefault="00D33B95">
          <w:pPr>
            <w:pStyle w:val="Header"/>
            <w:spacing w:before="60"/>
            <w:jc w:val="right"/>
            <w:rPr>
              <w:i/>
              <w:sz w:val="16"/>
            </w:rPr>
          </w:pPr>
          <w:r w:rsidRPr="001F3EBD">
            <w:rPr>
              <w:i/>
              <w:sz w:val="16"/>
            </w:rPr>
            <w:t>Doc. Identifier:</w:t>
          </w:r>
        </w:p>
        <w:p w:rsidR="00D33B95" w:rsidRPr="001F3EBD" w:rsidRDefault="00D33B95">
          <w:pPr>
            <w:pStyle w:val="Header"/>
            <w:jc w:val="right"/>
            <w:rPr>
              <w:b/>
              <w:sz w:val="16"/>
            </w:rPr>
          </w:pPr>
          <w:r w:rsidRPr="001F3EBD">
            <w:rPr>
              <w:b/>
              <w:sz w:val="16"/>
            </w:rPr>
            <w:fldChar w:fldCharType="begin"/>
          </w:r>
          <w:r w:rsidRPr="001F3EBD">
            <w:rPr>
              <w:b/>
              <w:sz w:val="16"/>
            </w:rPr>
            <w:instrText xml:space="preserve"> STYLEREF DocId \* MERGEFORMAT </w:instrText>
          </w:r>
          <w:r w:rsidRPr="001F3EBD">
            <w:rPr>
              <w:b/>
              <w:sz w:val="16"/>
            </w:rPr>
            <w:fldChar w:fldCharType="separate"/>
          </w:r>
          <w:r w:rsidR="00042E9D" w:rsidRPr="00042E9D">
            <w:rPr>
              <w:bCs/>
              <w:noProof/>
              <w:sz w:val="16"/>
              <w:lang w:val="en-US"/>
            </w:rPr>
            <w:t>HILUMILHC-Mil-MS41</w:t>
          </w:r>
          <w:r w:rsidR="00042E9D">
            <w:rPr>
              <w:b/>
              <w:noProof/>
              <w:sz w:val="16"/>
            </w:rPr>
            <w:t>_rev0.11</w:t>
          </w:r>
          <w:r w:rsidRPr="001F3EBD">
            <w:rPr>
              <w:b/>
              <w:sz w:val="16"/>
            </w:rPr>
            <w:fldChar w:fldCharType="end"/>
          </w:r>
        </w:p>
      </w:tc>
    </w:tr>
    <w:tr w:rsidR="00D33B95" w:rsidTr="00952962">
      <w:trPr>
        <w:cantSplit/>
        <w:jc w:val="center"/>
      </w:trPr>
      <w:tc>
        <w:tcPr>
          <w:tcW w:w="2055" w:type="dxa"/>
          <w:vMerge/>
          <w:tcBorders>
            <w:top w:val="single" w:sz="4" w:space="0" w:color="auto"/>
            <w:bottom w:val="single" w:sz="8" w:space="0" w:color="008DBC"/>
          </w:tcBorders>
        </w:tcPr>
        <w:p w:rsidR="00D33B95" w:rsidRDefault="00D33B95">
          <w:pPr>
            <w:pStyle w:val="Header"/>
            <w:jc w:val="center"/>
          </w:pPr>
        </w:p>
      </w:tc>
      <w:tc>
        <w:tcPr>
          <w:tcW w:w="4575" w:type="dxa"/>
          <w:vMerge/>
          <w:tcBorders>
            <w:bottom w:val="single" w:sz="8" w:space="0" w:color="008DBC"/>
          </w:tcBorders>
          <w:vAlign w:val="center"/>
        </w:tcPr>
        <w:p w:rsidR="00D33B95" w:rsidRDefault="00D33B95">
          <w:pPr>
            <w:pStyle w:val="Header"/>
            <w:spacing w:before="20" w:after="20"/>
            <w:jc w:val="center"/>
            <w:rPr>
              <w:sz w:val="16"/>
            </w:rPr>
          </w:pPr>
        </w:p>
      </w:tc>
      <w:tc>
        <w:tcPr>
          <w:tcW w:w="2594" w:type="dxa"/>
          <w:tcBorders>
            <w:bottom w:val="single" w:sz="8" w:space="0" w:color="008DBC"/>
          </w:tcBorders>
        </w:tcPr>
        <w:p w:rsidR="00D33B95" w:rsidRPr="00B52F32" w:rsidRDefault="00D33B95">
          <w:pPr>
            <w:pStyle w:val="DocDate"/>
            <w:jc w:val="right"/>
            <w:rPr>
              <w:sz w:val="16"/>
            </w:rPr>
          </w:pPr>
          <w:r w:rsidRPr="00B52F32">
            <w:rPr>
              <w:i/>
              <w:sz w:val="16"/>
            </w:rPr>
            <w:t xml:space="preserve">Date: </w:t>
          </w:r>
          <w:r w:rsidRPr="00B52F32">
            <w:rPr>
              <w:sz w:val="16"/>
            </w:rPr>
            <w:fldChar w:fldCharType="begin"/>
          </w:r>
          <w:r w:rsidRPr="00B52F32">
            <w:rPr>
              <w:sz w:val="16"/>
            </w:rPr>
            <w:instrText xml:space="preserve"> STYLEREF  DocDate  \* MERGEFORMAT </w:instrText>
          </w:r>
          <w:r w:rsidRPr="00B52F32">
            <w:rPr>
              <w:sz w:val="16"/>
            </w:rPr>
            <w:fldChar w:fldCharType="separate"/>
          </w:r>
          <w:r w:rsidR="00042E9D" w:rsidRPr="00042E9D">
            <w:rPr>
              <w:bCs/>
              <w:sz w:val="16"/>
              <w:lang w:val="en-US"/>
            </w:rPr>
            <w:t>Xx</w:t>
          </w:r>
          <w:r w:rsidR="00042E9D">
            <w:rPr>
              <w:sz w:val="16"/>
            </w:rPr>
            <w:t>/xx/2014</w:t>
          </w:r>
          <w:r w:rsidRPr="00B52F32">
            <w:rPr>
              <w:sz w:val="16"/>
            </w:rPr>
            <w:fldChar w:fldCharType="end"/>
          </w:r>
          <w:r w:rsidRPr="00B52F32">
            <w:rPr>
              <w:sz w:val="16"/>
            </w:rPr>
            <w:t xml:space="preserve"> </w:t>
          </w:r>
        </w:p>
      </w:tc>
    </w:tr>
  </w:tbl>
  <w:p w:rsidR="00D33B95" w:rsidRDefault="00D33B95" w:rsidP="005822A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50"/>
      <w:gridCol w:w="4650"/>
    </w:tblGrid>
    <w:tr w:rsidR="00D33B95" w:rsidTr="002D656F">
      <w:tc>
        <w:tcPr>
          <w:tcW w:w="4650" w:type="dxa"/>
          <w:shd w:val="clear" w:color="auto" w:fill="auto"/>
        </w:tcPr>
        <w:p w:rsidR="00D33B95" w:rsidRDefault="00D33B95" w:rsidP="002D656F">
          <w:pPr>
            <w:pStyle w:val="Header"/>
            <w:jc w:val="left"/>
          </w:pPr>
          <w:r>
            <w:rPr>
              <w:noProof/>
              <w:lang w:eastAsia="en-GB"/>
            </w:rPr>
            <w:drawing>
              <wp:inline distT="0" distB="0" distL="0" distR="0">
                <wp:extent cx="2289810" cy="1105535"/>
                <wp:effectExtent l="0" t="0" r="0" b="0"/>
                <wp:docPr id="1" name="Picture 1" descr="HiLumi18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Lumi18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9810" cy="1105535"/>
                        </a:xfrm>
                        <a:prstGeom prst="rect">
                          <a:avLst/>
                        </a:prstGeom>
                        <a:noFill/>
                        <a:ln>
                          <a:noFill/>
                        </a:ln>
                      </pic:spPr>
                    </pic:pic>
                  </a:graphicData>
                </a:graphic>
              </wp:inline>
            </w:drawing>
          </w:r>
        </w:p>
      </w:tc>
      <w:tc>
        <w:tcPr>
          <w:tcW w:w="4650" w:type="dxa"/>
          <w:shd w:val="clear" w:color="auto" w:fill="auto"/>
        </w:tcPr>
        <w:p w:rsidR="00D33B95" w:rsidRDefault="00D33B95" w:rsidP="002D656F">
          <w:pPr>
            <w:pStyle w:val="Header"/>
            <w:jc w:val="right"/>
          </w:pPr>
          <w:r>
            <w:rPr>
              <w:noProof/>
              <w:lang w:eastAsia="en-GB"/>
            </w:rPr>
            <w:drawing>
              <wp:inline distT="0" distB="0" distL="0" distR="0">
                <wp:extent cx="1200785" cy="977900"/>
                <wp:effectExtent l="0" t="0" r="0" b="0"/>
                <wp:docPr id="2" name="Picture 2" descr="FP7-capacities-CMYK197x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7-capacities-CMYK197x16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785" cy="977900"/>
                        </a:xfrm>
                        <a:prstGeom prst="rect">
                          <a:avLst/>
                        </a:prstGeom>
                        <a:noFill/>
                        <a:ln>
                          <a:noFill/>
                        </a:ln>
                      </pic:spPr>
                    </pic:pic>
                  </a:graphicData>
                </a:graphic>
              </wp:inline>
            </w:drawing>
          </w:r>
        </w:p>
      </w:tc>
    </w:tr>
  </w:tbl>
  <w:p w:rsidR="00D33B95" w:rsidRDefault="00D33B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578E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7155C2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FF67A70"/>
    <w:multiLevelType w:val="hybridMultilevel"/>
    <w:tmpl w:val="FFD2D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9F5EA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526172D"/>
    <w:multiLevelType w:val="hybridMultilevel"/>
    <w:tmpl w:val="968AAC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524D82"/>
    <w:multiLevelType w:val="hybridMultilevel"/>
    <w:tmpl w:val="563E00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28689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D265EB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DBC72F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0482AB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0D01324"/>
    <w:multiLevelType w:val="hybridMultilevel"/>
    <w:tmpl w:val="E82C65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18639C0"/>
    <w:multiLevelType w:val="hybridMultilevel"/>
    <w:tmpl w:val="7A64BBE4"/>
    <w:lvl w:ilvl="0" w:tplc="04090001">
      <w:start w:val="1"/>
      <w:numFmt w:val="bullet"/>
      <w:lvlText w:val=""/>
      <w:lvlJc w:val="left"/>
      <w:pPr>
        <w:tabs>
          <w:tab w:val="num" w:pos="1426"/>
        </w:tabs>
        <w:ind w:left="1426" w:hanging="360"/>
      </w:pPr>
      <w:rPr>
        <w:rFonts w:ascii="Symbol" w:hAnsi="Symbol" w:hint="default"/>
      </w:rPr>
    </w:lvl>
    <w:lvl w:ilvl="1" w:tplc="04090003" w:tentative="1">
      <w:start w:val="1"/>
      <w:numFmt w:val="bullet"/>
      <w:lvlText w:val="o"/>
      <w:lvlJc w:val="left"/>
      <w:pPr>
        <w:tabs>
          <w:tab w:val="num" w:pos="2146"/>
        </w:tabs>
        <w:ind w:left="2146" w:hanging="360"/>
      </w:pPr>
      <w:rPr>
        <w:rFonts w:ascii="Courier New" w:hAnsi="Courier New" w:cs="Courier New" w:hint="default"/>
      </w:rPr>
    </w:lvl>
    <w:lvl w:ilvl="2" w:tplc="04090005" w:tentative="1">
      <w:start w:val="1"/>
      <w:numFmt w:val="bullet"/>
      <w:lvlText w:val=""/>
      <w:lvlJc w:val="left"/>
      <w:pPr>
        <w:tabs>
          <w:tab w:val="num" w:pos="2866"/>
        </w:tabs>
        <w:ind w:left="2866" w:hanging="360"/>
      </w:pPr>
      <w:rPr>
        <w:rFonts w:ascii="Wingdings" w:hAnsi="Wingdings" w:hint="default"/>
      </w:rPr>
    </w:lvl>
    <w:lvl w:ilvl="3" w:tplc="04090001" w:tentative="1">
      <w:start w:val="1"/>
      <w:numFmt w:val="bullet"/>
      <w:lvlText w:val=""/>
      <w:lvlJc w:val="left"/>
      <w:pPr>
        <w:tabs>
          <w:tab w:val="num" w:pos="3586"/>
        </w:tabs>
        <w:ind w:left="3586" w:hanging="360"/>
      </w:pPr>
      <w:rPr>
        <w:rFonts w:ascii="Symbol" w:hAnsi="Symbol" w:hint="default"/>
      </w:rPr>
    </w:lvl>
    <w:lvl w:ilvl="4" w:tplc="04090003" w:tentative="1">
      <w:start w:val="1"/>
      <w:numFmt w:val="bullet"/>
      <w:lvlText w:val="o"/>
      <w:lvlJc w:val="left"/>
      <w:pPr>
        <w:tabs>
          <w:tab w:val="num" w:pos="4306"/>
        </w:tabs>
        <w:ind w:left="4306" w:hanging="360"/>
      </w:pPr>
      <w:rPr>
        <w:rFonts w:ascii="Courier New" w:hAnsi="Courier New" w:cs="Courier New" w:hint="default"/>
      </w:rPr>
    </w:lvl>
    <w:lvl w:ilvl="5" w:tplc="04090005" w:tentative="1">
      <w:start w:val="1"/>
      <w:numFmt w:val="bullet"/>
      <w:lvlText w:val=""/>
      <w:lvlJc w:val="left"/>
      <w:pPr>
        <w:tabs>
          <w:tab w:val="num" w:pos="5026"/>
        </w:tabs>
        <w:ind w:left="5026" w:hanging="360"/>
      </w:pPr>
      <w:rPr>
        <w:rFonts w:ascii="Wingdings" w:hAnsi="Wingdings" w:hint="default"/>
      </w:rPr>
    </w:lvl>
    <w:lvl w:ilvl="6" w:tplc="04090001" w:tentative="1">
      <w:start w:val="1"/>
      <w:numFmt w:val="bullet"/>
      <w:lvlText w:val=""/>
      <w:lvlJc w:val="left"/>
      <w:pPr>
        <w:tabs>
          <w:tab w:val="num" w:pos="5746"/>
        </w:tabs>
        <w:ind w:left="5746" w:hanging="360"/>
      </w:pPr>
      <w:rPr>
        <w:rFonts w:ascii="Symbol" w:hAnsi="Symbol" w:hint="default"/>
      </w:rPr>
    </w:lvl>
    <w:lvl w:ilvl="7" w:tplc="04090003" w:tentative="1">
      <w:start w:val="1"/>
      <w:numFmt w:val="bullet"/>
      <w:lvlText w:val="o"/>
      <w:lvlJc w:val="left"/>
      <w:pPr>
        <w:tabs>
          <w:tab w:val="num" w:pos="6466"/>
        </w:tabs>
        <w:ind w:left="6466" w:hanging="360"/>
      </w:pPr>
      <w:rPr>
        <w:rFonts w:ascii="Courier New" w:hAnsi="Courier New" w:cs="Courier New" w:hint="default"/>
      </w:rPr>
    </w:lvl>
    <w:lvl w:ilvl="8" w:tplc="04090005" w:tentative="1">
      <w:start w:val="1"/>
      <w:numFmt w:val="bullet"/>
      <w:lvlText w:val=""/>
      <w:lvlJc w:val="left"/>
      <w:pPr>
        <w:tabs>
          <w:tab w:val="num" w:pos="7186"/>
        </w:tabs>
        <w:ind w:left="7186" w:hanging="360"/>
      </w:pPr>
      <w:rPr>
        <w:rFonts w:ascii="Wingdings" w:hAnsi="Wingdings" w:hint="default"/>
      </w:rPr>
    </w:lvl>
  </w:abstractNum>
  <w:abstractNum w:abstractNumId="12">
    <w:nsid w:val="2EAB7FD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EBF0261"/>
    <w:multiLevelType w:val="multilevel"/>
    <w:tmpl w:val="D876DB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1541F64"/>
    <w:multiLevelType w:val="hybridMultilevel"/>
    <w:tmpl w:val="E0E66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F355F4"/>
    <w:multiLevelType w:val="hybridMultilevel"/>
    <w:tmpl w:val="5C42BC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D55C38"/>
    <w:multiLevelType w:val="multilevel"/>
    <w:tmpl w:val="EE606426"/>
    <w:lvl w:ilvl="0">
      <w:start w:val="1"/>
      <w:numFmt w:val="decimal"/>
      <w:pStyle w:val="Heading1"/>
      <w:lvlText w:val="%1."/>
      <w:lvlJc w:val="left"/>
      <w:pPr>
        <w:tabs>
          <w:tab w:val="num" w:pos="0"/>
        </w:tabs>
        <w:ind w:left="0" w:firstLine="0"/>
      </w:pPr>
      <w:rPr>
        <w:rFonts w:hint="default"/>
        <w:lang w:val="en-US"/>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pStyle w:val="Heading6"/>
      <w:lvlText w:val=""/>
      <w:lvlJc w:val="left"/>
      <w:pPr>
        <w:tabs>
          <w:tab w:val="num" w:pos="0"/>
        </w:tabs>
        <w:ind w:left="0" w:firstLine="0"/>
      </w:pPr>
      <w:rPr>
        <w:rFonts w:hint="default"/>
      </w:rPr>
    </w:lvl>
    <w:lvl w:ilvl="6">
      <w:start w:val="1"/>
      <w:numFmt w:val="none"/>
      <w:pStyle w:val="Heading7"/>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pStyle w:val="Heading9"/>
      <w:lvlText w:val=""/>
      <w:lvlJc w:val="left"/>
      <w:pPr>
        <w:tabs>
          <w:tab w:val="num" w:pos="0"/>
        </w:tabs>
        <w:ind w:left="0" w:firstLine="0"/>
      </w:pPr>
      <w:rPr>
        <w:rFonts w:hint="default"/>
      </w:rPr>
    </w:lvl>
  </w:abstractNum>
  <w:abstractNum w:abstractNumId="17">
    <w:nsid w:val="42D94040"/>
    <w:multiLevelType w:val="hybridMultilevel"/>
    <w:tmpl w:val="351AB8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9B9749F"/>
    <w:multiLevelType w:val="multilevel"/>
    <w:tmpl w:val="5614A1F8"/>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none"/>
      <w:suff w:val="space"/>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none"/>
      <w:suff w:val="space"/>
      <w:lvlText w:val=""/>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9">
    <w:nsid w:val="4BB64713"/>
    <w:multiLevelType w:val="hybridMultilevel"/>
    <w:tmpl w:val="E19000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BE027B3"/>
    <w:multiLevelType w:val="hybridMultilevel"/>
    <w:tmpl w:val="678A79C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F60626B"/>
    <w:multiLevelType w:val="hybridMultilevel"/>
    <w:tmpl w:val="D63442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1B40BA5"/>
    <w:multiLevelType w:val="singleLevel"/>
    <w:tmpl w:val="9C8AD6CE"/>
    <w:lvl w:ilvl="0">
      <w:start w:val="1"/>
      <w:numFmt w:val="bullet"/>
      <w:lvlText w:val=""/>
      <w:lvlJc w:val="left"/>
      <w:pPr>
        <w:tabs>
          <w:tab w:val="num" w:pos="360"/>
        </w:tabs>
        <w:ind w:left="360" w:hanging="360"/>
      </w:pPr>
      <w:rPr>
        <w:rFonts w:ascii="Symbol" w:hAnsi="Symbol" w:hint="default"/>
        <w:sz w:val="22"/>
      </w:rPr>
    </w:lvl>
  </w:abstractNum>
  <w:abstractNum w:abstractNumId="23">
    <w:nsid w:val="716632D8"/>
    <w:multiLevelType w:val="singleLevel"/>
    <w:tmpl w:val="E70EA8B0"/>
    <w:lvl w:ilvl="0">
      <w:start w:val="1"/>
      <w:numFmt w:val="bullet"/>
      <w:lvlText w:val=""/>
      <w:lvlJc w:val="left"/>
      <w:pPr>
        <w:tabs>
          <w:tab w:val="num" w:pos="360"/>
        </w:tabs>
        <w:ind w:left="360" w:hanging="360"/>
      </w:pPr>
      <w:rPr>
        <w:rFonts w:ascii="Wingdings" w:hAnsi="Wingdings" w:hint="default"/>
        <w:sz w:val="20"/>
      </w:rPr>
    </w:lvl>
  </w:abstractNum>
  <w:abstractNum w:abstractNumId="24">
    <w:nsid w:val="76AE4941"/>
    <w:multiLevelType w:val="hybridMultilevel"/>
    <w:tmpl w:val="1E2C0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3"/>
  </w:num>
  <w:num w:numId="3">
    <w:abstractNumId w:val="22"/>
  </w:num>
  <w:num w:numId="4">
    <w:abstractNumId w:val="18"/>
  </w:num>
  <w:num w:numId="5">
    <w:abstractNumId w:val="18"/>
  </w:num>
  <w:num w:numId="6">
    <w:abstractNumId w:val="18"/>
  </w:num>
  <w:num w:numId="7">
    <w:abstractNumId w:val="18"/>
  </w:num>
  <w:num w:numId="8">
    <w:abstractNumId w:val="18"/>
  </w:num>
  <w:num w:numId="9">
    <w:abstractNumId w:val="18"/>
  </w:num>
  <w:num w:numId="10">
    <w:abstractNumId w:val="18"/>
  </w:num>
  <w:num w:numId="11">
    <w:abstractNumId w:val="18"/>
  </w:num>
  <w:num w:numId="12">
    <w:abstractNumId w:val="18"/>
  </w:num>
  <w:num w:numId="13">
    <w:abstractNumId w:val="18"/>
  </w:num>
  <w:num w:numId="14">
    <w:abstractNumId w:val="18"/>
  </w:num>
  <w:num w:numId="15">
    <w:abstractNumId w:val="18"/>
  </w:num>
  <w:num w:numId="16">
    <w:abstractNumId w:val="18"/>
  </w:num>
  <w:num w:numId="17">
    <w:abstractNumId w:val="18"/>
  </w:num>
  <w:num w:numId="18">
    <w:abstractNumId w:val="13"/>
  </w:num>
  <w:num w:numId="19">
    <w:abstractNumId w:val="16"/>
  </w:num>
  <w:num w:numId="20">
    <w:abstractNumId w:val="11"/>
  </w:num>
  <w:num w:numId="21">
    <w:abstractNumId w:val="10"/>
  </w:num>
  <w:num w:numId="22">
    <w:abstractNumId w:val="17"/>
  </w:num>
  <w:num w:numId="23">
    <w:abstractNumId w:val="21"/>
  </w:num>
  <w:num w:numId="24">
    <w:abstractNumId w:val="24"/>
  </w:num>
  <w:num w:numId="25">
    <w:abstractNumId w:val="4"/>
  </w:num>
  <w:num w:numId="26">
    <w:abstractNumId w:val="15"/>
  </w:num>
  <w:num w:numId="27">
    <w:abstractNumId w:val="19"/>
  </w:num>
  <w:num w:numId="28">
    <w:abstractNumId w:val="3"/>
  </w:num>
  <w:num w:numId="29">
    <w:abstractNumId w:val="7"/>
  </w:num>
  <w:num w:numId="30">
    <w:abstractNumId w:val="9"/>
  </w:num>
  <w:num w:numId="31">
    <w:abstractNumId w:val="12"/>
  </w:num>
  <w:num w:numId="32">
    <w:abstractNumId w:val="0"/>
  </w:num>
  <w:num w:numId="33">
    <w:abstractNumId w:val="1"/>
  </w:num>
  <w:num w:numId="34">
    <w:abstractNumId w:val="6"/>
  </w:num>
  <w:num w:numId="35">
    <w:abstractNumId w:val="8"/>
  </w:num>
  <w:num w:numId="36">
    <w:abstractNumId w:val="16"/>
  </w:num>
  <w:num w:numId="37">
    <w:abstractNumId w:val="2"/>
  </w:num>
  <w:num w:numId="38">
    <w:abstractNumId w:val="14"/>
  </w:num>
  <w:num w:numId="39">
    <w:abstractNumId w:val="20"/>
  </w:num>
  <w:num w:numId="40">
    <w:abstractNumId w:val="5"/>
  </w:num>
  <w:num w:numId="41">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fr-FR" w:vendorID="9" w:dllVersion="512" w:checkStyle="0"/>
  <w:activeWritingStyle w:appName="MSWord" w:lang="en-GB" w:vendorID="8" w:dllVersion="513"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DC1"/>
    <w:rsid w:val="00001561"/>
    <w:rsid w:val="00002650"/>
    <w:rsid w:val="00006268"/>
    <w:rsid w:val="00014AA8"/>
    <w:rsid w:val="00036C7C"/>
    <w:rsid w:val="000376C2"/>
    <w:rsid w:val="000408DC"/>
    <w:rsid w:val="000411D2"/>
    <w:rsid w:val="0004175D"/>
    <w:rsid w:val="00042E9D"/>
    <w:rsid w:val="00056BE3"/>
    <w:rsid w:val="00064855"/>
    <w:rsid w:val="0006521E"/>
    <w:rsid w:val="000679D7"/>
    <w:rsid w:val="000847AD"/>
    <w:rsid w:val="0008673D"/>
    <w:rsid w:val="00097265"/>
    <w:rsid w:val="00100CE4"/>
    <w:rsid w:val="00104631"/>
    <w:rsid w:val="0011158C"/>
    <w:rsid w:val="00117283"/>
    <w:rsid w:val="001207AE"/>
    <w:rsid w:val="0013765F"/>
    <w:rsid w:val="00152912"/>
    <w:rsid w:val="001542FC"/>
    <w:rsid w:val="00164247"/>
    <w:rsid w:val="001731AE"/>
    <w:rsid w:val="00173F1C"/>
    <w:rsid w:val="0018126A"/>
    <w:rsid w:val="00187C97"/>
    <w:rsid w:val="00197E80"/>
    <w:rsid w:val="001A1BD0"/>
    <w:rsid w:val="001B253B"/>
    <w:rsid w:val="001C4E33"/>
    <w:rsid w:val="001C6C47"/>
    <w:rsid w:val="001D3C2B"/>
    <w:rsid w:val="001D6611"/>
    <w:rsid w:val="001E79C0"/>
    <w:rsid w:val="001F1C98"/>
    <w:rsid w:val="001F3EBD"/>
    <w:rsid w:val="001F7CC5"/>
    <w:rsid w:val="0020301F"/>
    <w:rsid w:val="00203498"/>
    <w:rsid w:val="00205773"/>
    <w:rsid w:val="00216E61"/>
    <w:rsid w:val="00225A72"/>
    <w:rsid w:val="002356FA"/>
    <w:rsid w:val="00237718"/>
    <w:rsid w:val="00244C7A"/>
    <w:rsid w:val="00257E69"/>
    <w:rsid w:val="00267A97"/>
    <w:rsid w:val="00280B37"/>
    <w:rsid w:val="00281A07"/>
    <w:rsid w:val="002A49C7"/>
    <w:rsid w:val="002A4D43"/>
    <w:rsid w:val="002A4F55"/>
    <w:rsid w:val="002B2D47"/>
    <w:rsid w:val="002C15A4"/>
    <w:rsid w:val="002C18E1"/>
    <w:rsid w:val="002C44B1"/>
    <w:rsid w:val="002D275E"/>
    <w:rsid w:val="002D5962"/>
    <w:rsid w:val="002D656F"/>
    <w:rsid w:val="002F6EA5"/>
    <w:rsid w:val="00310EF4"/>
    <w:rsid w:val="00315CD2"/>
    <w:rsid w:val="00320CBD"/>
    <w:rsid w:val="0032162B"/>
    <w:rsid w:val="00352212"/>
    <w:rsid w:val="003574E7"/>
    <w:rsid w:val="00365FD7"/>
    <w:rsid w:val="00373C40"/>
    <w:rsid w:val="003873B7"/>
    <w:rsid w:val="00397294"/>
    <w:rsid w:val="003B7A4A"/>
    <w:rsid w:val="003D51A1"/>
    <w:rsid w:val="003D62BB"/>
    <w:rsid w:val="003F6EE1"/>
    <w:rsid w:val="00400736"/>
    <w:rsid w:val="004027F5"/>
    <w:rsid w:val="00407A52"/>
    <w:rsid w:val="0042645C"/>
    <w:rsid w:val="0043379B"/>
    <w:rsid w:val="00442801"/>
    <w:rsid w:val="00446379"/>
    <w:rsid w:val="00466371"/>
    <w:rsid w:val="0047197B"/>
    <w:rsid w:val="00475F1B"/>
    <w:rsid w:val="004819A9"/>
    <w:rsid w:val="004834F0"/>
    <w:rsid w:val="004A0E8A"/>
    <w:rsid w:val="004A3145"/>
    <w:rsid w:val="004B1FB4"/>
    <w:rsid w:val="004E1B21"/>
    <w:rsid w:val="004E3311"/>
    <w:rsid w:val="004E6A35"/>
    <w:rsid w:val="004F53BD"/>
    <w:rsid w:val="004F59B4"/>
    <w:rsid w:val="00501482"/>
    <w:rsid w:val="00510D75"/>
    <w:rsid w:val="00516977"/>
    <w:rsid w:val="00521A60"/>
    <w:rsid w:val="005326CE"/>
    <w:rsid w:val="00541D00"/>
    <w:rsid w:val="00556136"/>
    <w:rsid w:val="0056418D"/>
    <w:rsid w:val="005646D1"/>
    <w:rsid w:val="00571A66"/>
    <w:rsid w:val="00571E22"/>
    <w:rsid w:val="00572149"/>
    <w:rsid w:val="00574A4B"/>
    <w:rsid w:val="005822A8"/>
    <w:rsid w:val="005A3722"/>
    <w:rsid w:val="005C45B7"/>
    <w:rsid w:val="005C7558"/>
    <w:rsid w:val="005C7FD6"/>
    <w:rsid w:val="005D0B60"/>
    <w:rsid w:val="005D5FF9"/>
    <w:rsid w:val="005E18C2"/>
    <w:rsid w:val="005E2C8C"/>
    <w:rsid w:val="005E51B2"/>
    <w:rsid w:val="0060375C"/>
    <w:rsid w:val="006470F3"/>
    <w:rsid w:val="00662514"/>
    <w:rsid w:val="00662FB9"/>
    <w:rsid w:val="00663F5A"/>
    <w:rsid w:val="00677DE4"/>
    <w:rsid w:val="00685717"/>
    <w:rsid w:val="006D575D"/>
    <w:rsid w:val="006D5F92"/>
    <w:rsid w:val="006D61EE"/>
    <w:rsid w:val="006E2AD2"/>
    <w:rsid w:val="006E2D5B"/>
    <w:rsid w:val="006E3585"/>
    <w:rsid w:val="007000FE"/>
    <w:rsid w:val="00705918"/>
    <w:rsid w:val="00712471"/>
    <w:rsid w:val="00714E7C"/>
    <w:rsid w:val="00723245"/>
    <w:rsid w:val="007243B6"/>
    <w:rsid w:val="00756C76"/>
    <w:rsid w:val="007878D3"/>
    <w:rsid w:val="00791F84"/>
    <w:rsid w:val="00793F62"/>
    <w:rsid w:val="00795F57"/>
    <w:rsid w:val="007A005F"/>
    <w:rsid w:val="007A6E18"/>
    <w:rsid w:val="007B47FD"/>
    <w:rsid w:val="007B5F21"/>
    <w:rsid w:val="007C18F4"/>
    <w:rsid w:val="007F0B62"/>
    <w:rsid w:val="0081753E"/>
    <w:rsid w:val="008225E9"/>
    <w:rsid w:val="00823E8F"/>
    <w:rsid w:val="0082423B"/>
    <w:rsid w:val="00847256"/>
    <w:rsid w:val="008554CB"/>
    <w:rsid w:val="0086225F"/>
    <w:rsid w:val="0086255E"/>
    <w:rsid w:val="0086643B"/>
    <w:rsid w:val="00867CFA"/>
    <w:rsid w:val="00873C9D"/>
    <w:rsid w:val="008865B6"/>
    <w:rsid w:val="00887CCB"/>
    <w:rsid w:val="008A79D8"/>
    <w:rsid w:val="008C46FB"/>
    <w:rsid w:val="008C66A3"/>
    <w:rsid w:val="008D2C6C"/>
    <w:rsid w:val="008D621F"/>
    <w:rsid w:val="008D68F7"/>
    <w:rsid w:val="008F7EE4"/>
    <w:rsid w:val="00916553"/>
    <w:rsid w:val="00924FBC"/>
    <w:rsid w:val="00930642"/>
    <w:rsid w:val="00936F70"/>
    <w:rsid w:val="009433A6"/>
    <w:rsid w:val="009440F6"/>
    <w:rsid w:val="009450C1"/>
    <w:rsid w:val="00952962"/>
    <w:rsid w:val="00954B98"/>
    <w:rsid w:val="009654EA"/>
    <w:rsid w:val="00980333"/>
    <w:rsid w:val="00987796"/>
    <w:rsid w:val="00990767"/>
    <w:rsid w:val="00996499"/>
    <w:rsid w:val="009A43B0"/>
    <w:rsid w:val="009B0B3A"/>
    <w:rsid w:val="009C616A"/>
    <w:rsid w:val="009C626F"/>
    <w:rsid w:val="009D4A81"/>
    <w:rsid w:val="009E616F"/>
    <w:rsid w:val="00A02483"/>
    <w:rsid w:val="00A20627"/>
    <w:rsid w:val="00A206F5"/>
    <w:rsid w:val="00A21419"/>
    <w:rsid w:val="00A21E90"/>
    <w:rsid w:val="00A267B2"/>
    <w:rsid w:val="00A557AA"/>
    <w:rsid w:val="00A57D60"/>
    <w:rsid w:val="00A6421A"/>
    <w:rsid w:val="00A721F0"/>
    <w:rsid w:val="00A75668"/>
    <w:rsid w:val="00A800BD"/>
    <w:rsid w:val="00A8051B"/>
    <w:rsid w:val="00A942B1"/>
    <w:rsid w:val="00AC0823"/>
    <w:rsid w:val="00AC1DB1"/>
    <w:rsid w:val="00AC6E58"/>
    <w:rsid w:val="00AD0F6D"/>
    <w:rsid w:val="00AD5621"/>
    <w:rsid w:val="00AF2285"/>
    <w:rsid w:val="00AF5FD7"/>
    <w:rsid w:val="00B001E2"/>
    <w:rsid w:val="00B163BE"/>
    <w:rsid w:val="00B345AD"/>
    <w:rsid w:val="00B3586E"/>
    <w:rsid w:val="00B43363"/>
    <w:rsid w:val="00B45708"/>
    <w:rsid w:val="00B51003"/>
    <w:rsid w:val="00B52F32"/>
    <w:rsid w:val="00B619E5"/>
    <w:rsid w:val="00B65BAC"/>
    <w:rsid w:val="00BB1569"/>
    <w:rsid w:val="00BB1B7D"/>
    <w:rsid w:val="00BB749D"/>
    <w:rsid w:val="00BC11D1"/>
    <w:rsid w:val="00BC774A"/>
    <w:rsid w:val="00BD440D"/>
    <w:rsid w:val="00BD7D8C"/>
    <w:rsid w:val="00C056E3"/>
    <w:rsid w:val="00C176FC"/>
    <w:rsid w:val="00C219E4"/>
    <w:rsid w:val="00C45D0E"/>
    <w:rsid w:val="00C607CD"/>
    <w:rsid w:val="00C709CA"/>
    <w:rsid w:val="00C75248"/>
    <w:rsid w:val="00C83D2E"/>
    <w:rsid w:val="00C9799D"/>
    <w:rsid w:val="00CA5FAF"/>
    <w:rsid w:val="00CB3AE6"/>
    <w:rsid w:val="00CB5119"/>
    <w:rsid w:val="00CC1ADD"/>
    <w:rsid w:val="00CC285A"/>
    <w:rsid w:val="00CC6CDA"/>
    <w:rsid w:val="00CC7158"/>
    <w:rsid w:val="00CD0E60"/>
    <w:rsid w:val="00CD2B0C"/>
    <w:rsid w:val="00CE03B6"/>
    <w:rsid w:val="00CE2C0E"/>
    <w:rsid w:val="00CF318F"/>
    <w:rsid w:val="00D0368A"/>
    <w:rsid w:val="00D1234B"/>
    <w:rsid w:val="00D16E93"/>
    <w:rsid w:val="00D2234B"/>
    <w:rsid w:val="00D33B95"/>
    <w:rsid w:val="00D4161A"/>
    <w:rsid w:val="00D47C7A"/>
    <w:rsid w:val="00D54DC1"/>
    <w:rsid w:val="00D6061F"/>
    <w:rsid w:val="00D70609"/>
    <w:rsid w:val="00D8714E"/>
    <w:rsid w:val="00D943D5"/>
    <w:rsid w:val="00DC577A"/>
    <w:rsid w:val="00DD731F"/>
    <w:rsid w:val="00DD7E05"/>
    <w:rsid w:val="00DE1A75"/>
    <w:rsid w:val="00DE553E"/>
    <w:rsid w:val="00DF613F"/>
    <w:rsid w:val="00E00297"/>
    <w:rsid w:val="00E05644"/>
    <w:rsid w:val="00E173F6"/>
    <w:rsid w:val="00E3654A"/>
    <w:rsid w:val="00E41A59"/>
    <w:rsid w:val="00E562F4"/>
    <w:rsid w:val="00E61218"/>
    <w:rsid w:val="00E7275B"/>
    <w:rsid w:val="00E877AD"/>
    <w:rsid w:val="00E91371"/>
    <w:rsid w:val="00E96F68"/>
    <w:rsid w:val="00E97391"/>
    <w:rsid w:val="00EB085F"/>
    <w:rsid w:val="00EC5C73"/>
    <w:rsid w:val="00EE4B78"/>
    <w:rsid w:val="00EE7D3C"/>
    <w:rsid w:val="00EF6353"/>
    <w:rsid w:val="00F00F60"/>
    <w:rsid w:val="00F06FA6"/>
    <w:rsid w:val="00F1116E"/>
    <w:rsid w:val="00F52C9D"/>
    <w:rsid w:val="00F55A79"/>
    <w:rsid w:val="00F60860"/>
    <w:rsid w:val="00F64532"/>
    <w:rsid w:val="00F7040B"/>
    <w:rsid w:val="00F710E0"/>
    <w:rsid w:val="00F718F5"/>
    <w:rsid w:val="00F7510F"/>
    <w:rsid w:val="00F77220"/>
    <w:rsid w:val="00F8307B"/>
    <w:rsid w:val="00F83711"/>
    <w:rsid w:val="00F8486E"/>
    <w:rsid w:val="00FA121E"/>
    <w:rsid w:val="00FA1C86"/>
    <w:rsid w:val="00FB1174"/>
    <w:rsid w:val="00FB4176"/>
    <w:rsid w:val="00FC2878"/>
    <w:rsid w:val="00FC5B36"/>
    <w:rsid w:val="00FD75C5"/>
    <w:rsid w:val="00FF31EA"/>
    <w:rsid w:val="00FF6F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1E90"/>
    <w:pPr>
      <w:suppressAutoHyphens/>
      <w:spacing w:before="40" w:after="40"/>
      <w:jc w:val="both"/>
    </w:pPr>
    <w:rPr>
      <w:sz w:val="24"/>
      <w:lang w:eastAsia="fr-FR"/>
    </w:rPr>
  </w:style>
  <w:style w:type="paragraph" w:styleId="Heading1">
    <w:name w:val="heading 1"/>
    <w:basedOn w:val="Normal"/>
    <w:next w:val="Normal"/>
    <w:autoRedefine/>
    <w:qFormat/>
    <w:rsid w:val="00795F57"/>
    <w:pPr>
      <w:numPr>
        <w:numId w:val="19"/>
      </w:numPr>
      <w:spacing w:before="360" w:after="60"/>
      <w:jc w:val="left"/>
      <w:outlineLvl w:val="0"/>
    </w:pPr>
    <w:rPr>
      <w:rFonts w:ascii="Arial" w:hAnsi="Arial"/>
      <w:b/>
      <w:caps/>
      <w:snapToGrid w:val="0"/>
      <w:sz w:val="28"/>
    </w:rPr>
  </w:style>
  <w:style w:type="paragraph" w:styleId="Heading2">
    <w:name w:val="heading 2"/>
    <w:basedOn w:val="Normal"/>
    <w:next w:val="Normal"/>
    <w:autoRedefine/>
    <w:qFormat/>
    <w:rsid w:val="00952962"/>
    <w:pPr>
      <w:numPr>
        <w:ilvl w:val="1"/>
        <w:numId w:val="19"/>
      </w:numPr>
      <w:spacing w:before="240" w:after="60"/>
      <w:outlineLvl w:val="1"/>
    </w:pPr>
    <w:rPr>
      <w:rFonts w:ascii="Arial" w:hAnsi="Arial"/>
      <w:b/>
      <w:caps/>
      <w:sz w:val="26"/>
    </w:rPr>
  </w:style>
  <w:style w:type="paragraph" w:styleId="Heading3">
    <w:name w:val="heading 3"/>
    <w:basedOn w:val="Normal"/>
    <w:next w:val="Normal"/>
    <w:autoRedefine/>
    <w:qFormat/>
    <w:rsid w:val="0011158C"/>
    <w:pPr>
      <w:keepNext/>
      <w:numPr>
        <w:ilvl w:val="2"/>
        <w:numId w:val="19"/>
      </w:numPr>
      <w:spacing w:before="240" w:after="60"/>
      <w:outlineLvl w:val="2"/>
    </w:pPr>
    <w:rPr>
      <w:rFonts w:ascii="Arial" w:hAnsi="Arial"/>
      <w:b/>
    </w:rPr>
  </w:style>
  <w:style w:type="paragraph" w:styleId="Heading4">
    <w:name w:val="heading 4"/>
    <w:basedOn w:val="Normal"/>
    <w:next w:val="Normal"/>
    <w:autoRedefine/>
    <w:qFormat/>
    <w:rsid w:val="00952962"/>
    <w:pPr>
      <w:keepNext/>
      <w:numPr>
        <w:ilvl w:val="3"/>
        <w:numId w:val="19"/>
      </w:numPr>
      <w:spacing w:before="240" w:after="60"/>
      <w:outlineLvl w:val="3"/>
    </w:pPr>
    <w:rPr>
      <w:rFonts w:ascii="Arial" w:hAnsi="Arial"/>
      <w:b/>
      <w:i/>
      <w:sz w:val="22"/>
    </w:rPr>
  </w:style>
  <w:style w:type="paragraph" w:styleId="Heading5">
    <w:name w:val="heading 5"/>
    <w:basedOn w:val="Normal"/>
    <w:next w:val="Normal"/>
    <w:autoRedefine/>
    <w:qFormat/>
    <w:rsid w:val="00952962"/>
    <w:pPr>
      <w:numPr>
        <w:ilvl w:val="4"/>
        <w:numId w:val="19"/>
      </w:numPr>
      <w:spacing w:before="240" w:after="60"/>
      <w:outlineLvl w:val="4"/>
    </w:pPr>
    <w:rPr>
      <w:rFonts w:ascii="Arial" w:hAnsi="Arial"/>
      <w:b/>
      <w:sz w:val="22"/>
    </w:rPr>
  </w:style>
  <w:style w:type="paragraph" w:styleId="Heading6">
    <w:name w:val="heading 6"/>
    <w:basedOn w:val="Normal"/>
    <w:next w:val="Normal"/>
    <w:autoRedefine/>
    <w:qFormat/>
    <w:rsid w:val="00952962"/>
    <w:pPr>
      <w:numPr>
        <w:ilvl w:val="5"/>
        <w:numId w:val="19"/>
      </w:numPr>
      <w:spacing w:before="240" w:after="60"/>
      <w:outlineLvl w:val="5"/>
    </w:pPr>
    <w:rPr>
      <w:rFonts w:ascii="Arial" w:hAnsi="Arial"/>
      <w:i/>
      <w:sz w:val="22"/>
    </w:rPr>
  </w:style>
  <w:style w:type="paragraph" w:styleId="Heading7">
    <w:name w:val="heading 7"/>
    <w:basedOn w:val="Normal"/>
    <w:next w:val="Normal"/>
    <w:autoRedefine/>
    <w:qFormat/>
    <w:rsid w:val="00952962"/>
    <w:pPr>
      <w:numPr>
        <w:ilvl w:val="6"/>
        <w:numId w:val="19"/>
      </w:numPr>
      <w:spacing w:before="240" w:after="60"/>
      <w:outlineLvl w:val="6"/>
    </w:pPr>
    <w:rPr>
      <w:rFonts w:ascii="Arial" w:hAnsi="Arial"/>
      <w:b/>
      <w:sz w:val="20"/>
    </w:rPr>
  </w:style>
  <w:style w:type="paragraph" w:styleId="Heading8">
    <w:name w:val="heading 8"/>
    <w:basedOn w:val="Normal"/>
    <w:next w:val="Normal"/>
    <w:autoRedefine/>
    <w:qFormat/>
    <w:rsid w:val="00952962"/>
    <w:pPr>
      <w:numPr>
        <w:ilvl w:val="7"/>
        <w:numId w:val="19"/>
      </w:numPr>
      <w:spacing w:before="240" w:after="60"/>
      <w:outlineLvl w:val="7"/>
    </w:pPr>
    <w:rPr>
      <w:rFonts w:ascii="Arial" w:hAnsi="Arial"/>
      <w:i/>
      <w:sz w:val="20"/>
    </w:rPr>
  </w:style>
  <w:style w:type="paragraph" w:styleId="Heading9">
    <w:name w:val="heading 9"/>
    <w:basedOn w:val="Normal"/>
    <w:next w:val="Normal"/>
    <w:autoRedefine/>
    <w:qFormat/>
    <w:rsid w:val="00952962"/>
    <w:pPr>
      <w:numPr>
        <w:ilvl w:val="8"/>
        <w:numId w:val="19"/>
      </w:numPr>
      <w:spacing w:before="240" w:after="60"/>
      <w:outlineLvl w:val="8"/>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Pr>
      <w:vertAlign w:val="superscript"/>
    </w:rPr>
  </w:style>
  <w:style w:type="paragraph" w:styleId="Header">
    <w:name w:val="header"/>
    <w:basedOn w:val="Normal"/>
    <w:link w:val="HeaderChar"/>
    <w:rsid w:val="00952962"/>
    <w:pPr>
      <w:tabs>
        <w:tab w:val="center" w:pos="4819"/>
        <w:tab w:val="right" w:pos="9071"/>
      </w:tabs>
    </w:pPr>
    <w:rPr>
      <w:sz w:val="22"/>
    </w:rPr>
  </w:style>
  <w:style w:type="paragraph" w:styleId="Footer">
    <w:name w:val="footer"/>
    <w:basedOn w:val="Normal"/>
    <w:link w:val="FooterChar"/>
    <w:pPr>
      <w:tabs>
        <w:tab w:val="center" w:pos="4536"/>
        <w:tab w:val="right" w:pos="9072"/>
      </w:tabs>
    </w:pPr>
  </w:style>
  <w:style w:type="character" w:styleId="PageNumber">
    <w:name w:val="page number"/>
    <w:basedOn w:val="DefaultParagraphFont"/>
  </w:style>
  <w:style w:type="paragraph" w:styleId="FootnoteText">
    <w:name w:val="footnote text"/>
    <w:basedOn w:val="Normal"/>
    <w:link w:val="FootnoteTextChar"/>
    <w:uiPriority w:val="99"/>
    <w:pPr>
      <w:widowControl w:val="0"/>
    </w:pPr>
  </w:style>
  <w:style w:type="paragraph" w:styleId="Caption">
    <w:name w:val="caption"/>
    <w:basedOn w:val="Normal"/>
    <w:next w:val="Normal"/>
    <w:qFormat/>
    <w:rsid w:val="00BD2D2E"/>
    <w:pPr>
      <w:spacing w:before="120" w:after="120"/>
      <w:jc w:val="center"/>
    </w:pPr>
    <w:rPr>
      <w:i/>
      <w:sz w:val="20"/>
    </w:rPr>
  </w:style>
  <w:style w:type="paragraph" w:styleId="TOC1">
    <w:name w:val="toc 1"/>
    <w:basedOn w:val="Normal"/>
    <w:next w:val="Normal"/>
    <w:autoRedefine/>
    <w:uiPriority w:val="39"/>
    <w:rsid w:val="00CE03B6"/>
    <w:pPr>
      <w:tabs>
        <w:tab w:val="left" w:pos="440"/>
        <w:tab w:val="right" w:leader="dot" w:pos="9062"/>
      </w:tabs>
      <w:spacing w:before="120" w:after="120"/>
    </w:pPr>
    <w:rPr>
      <w:b/>
      <w:caps/>
      <w:sz w:val="20"/>
    </w:rPr>
  </w:style>
  <w:style w:type="paragraph" w:styleId="TOC2">
    <w:name w:val="toc 2"/>
    <w:basedOn w:val="Normal"/>
    <w:next w:val="Normal"/>
    <w:autoRedefine/>
    <w:uiPriority w:val="39"/>
    <w:pPr>
      <w:spacing w:before="0" w:after="0"/>
      <w:ind w:left="220"/>
    </w:pPr>
    <w:rPr>
      <w:smallCaps/>
      <w:sz w:val="20"/>
    </w:rPr>
  </w:style>
  <w:style w:type="paragraph" w:styleId="TOC3">
    <w:name w:val="toc 3"/>
    <w:basedOn w:val="Normal"/>
    <w:next w:val="Normal"/>
    <w:autoRedefine/>
    <w:uiPriority w:val="39"/>
    <w:pPr>
      <w:spacing w:before="0" w:after="0"/>
      <w:ind w:left="440"/>
    </w:pPr>
    <w:rPr>
      <w:i/>
      <w:sz w:val="20"/>
    </w:rPr>
  </w:style>
  <w:style w:type="paragraph" w:styleId="TOC4">
    <w:name w:val="toc 4"/>
    <w:basedOn w:val="Normal"/>
    <w:next w:val="Normal"/>
    <w:autoRedefine/>
    <w:semiHidden/>
    <w:pPr>
      <w:spacing w:before="0" w:after="0"/>
      <w:ind w:left="660"/>
    </w:pPr>
    <w:rPr>
      <w:sz w:val="18"/>
    </w:rPr>
  </w:style>
  <w:style w:type="paragraph" w:styleId="TOC5">
    <w:name w:val="toc 5"/>
    <w:basedOn w:val="Normal"/>
    <w:next w:val="Normal"/>
    <w:autoRedefine/>
    <w:semiHidden/>
    <w:pPr>
      <w:spacing w:before="0" w:after="0"/>
      <w:ind w:left="880"/>
    </w:pPr>
    <w:rPr>
      <w:sz w:val="18"/>
    </w:rPr>
  </w:style>
  <w:style w:type="paragraph" w:styleId="TOC6">
    <w:name w:val="toc 6"/>
    <w:basedOn w:val="Normal"/>
    <w:next w:val="Normal"/>
    <w:autoRedefine/>
    <w:semiHidden/>
    <w:pPr>
      <w:spacing w:before="0" w:after="0"/>
      <w:ind w:left="1100"/>
    </w:pPr>
    <w:rPr>
      <w:sz w:val="18"/>
    </w:rPr>
  </w:style>
  <w:style w:type="paragraph" w:styleId="TOC7">
    <w:name w:val="toc 7"/>
    <w:basedOn w:val="Normal"/>
    <w:next w:val="Normal"/>
    <w:autoRedefine/>
    <w:semiHidden/>
    <w:pPr>
      <w:spacing w:before="0" w:after="0"/>
      <w:ind w:left="1320"/>
    </w:pPr>
    <w:rPr>
      <w:sz w:val="18"/>
    </w:rPr>
  </w:style>
  <w:style w:type="paragraph" w:styleId="TOC8">
    <w:name w:val="toc 8"/>
    <w:basedOn w:val="Normal"/>
    <w:next w:val="Normal"/>
    <w:autoRedefine/>
    <w:semiHidden/>
    <w:pPr>
      <w:spacing w:before="0" w:after="0"/>
      <w:ind w:left="1540"/>
    </w:pPr>
    <w:rPr>
      <w:sz w:val="18"/>
    </w:rPr>
  </w:style>
  <w:style w:type="paragraph" w:styleId="TOC9">
    <w:name w:val="toc 9"/>
    <w:basedOn w:val="Normal"/>
    <w:next w:val="Normal"/>
    <w:autoRedefine/>
    <w:semiHidden/>
    <w:pPr>
      <w:spacing w:before="0" w:after="0"/>
      <w:ind w:left="1760"/>
    </w:pPr>
    <w:rPr>
      <w:sz w:val="18"/>
    </w:rPr>
  </w:style>
  <w:style w:type="paragraph" w:styleId="CommentText">
    <w:name w:val="annotation text"/>
    <w:basedOn w:val="Normal"/>
    <w:link w:val="CommentTextChar"/>
    <w:semiHidden/>
    <w:pPr>
      <w:spacing w:after="120"/>
    </w:pPr>
    <w:rPr>
      <w:sz w:val="16"/>
      <w:lang w:val="en-US"/>
    </w:rPr>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cs="Helvetica"/>
    </w:rPr>
  </w:style>
  <w:style w:type="character" w:customStyle="1" w:styleId="DocId">
    <w:name w:val="DocId"/>
    <w:basedOn w:val="DefaultParagraphFont"/>
  </w:style>
  <w:style w:type="character" w:styleId="FollowedHyperlink">
    <w:name w:val="FollowedHyperlink"/>
    <w:rPr>
      <w:color w:val="800080"/>
      <w:u w:val="single"/>
    </w:rPr>
  </w:style>
  <w:style w:type="paragraph" w:customStyle="1" w:styleId="DocTitle">
    <w:name w:val="DocTitle"/>
    <w:basedOn w:val="HiLumiTitle"/>
    <w:rsid w:val="00DD7E05"/>
    <w:rPr>
      <w:smallCaps/>
      <w:color w:val="auto"/>
      <w:sz w:val="52"/>
    </w:rPr>
  </w:style>
  <w:style w:type="paragraph" w:customStyle="1" w:styleId="DocDate">
    <w:name w:val="DocDate"/>
    <w:basedOn w:val="Normal"/>
    <w:rsid w:val="00B52F32"/>
    <w:pPr>
      <w:spacing w:before="120" w:after="120"/>
    </w:pPr>
    <w:rPr>
      <w:noProof/>
      <w:snapToGrid w:val="0"/>
    </w:rPr>
  </w:style>
  <w:style w:type="paragraph" w:customStyle="1" w:styleId="DocSubTitle">
    <w:name w:val="DocSubTitle"/>
    <w:basedOn w:val="DocTitle"/>
    <w:next w:val="Normal"/>
    <w:rPr>
      <w:sz w:val="24"/>
    </w:rPr>
  </w:style>
  <w:style w:type="table" w:styleId="TableGrid">
    <w:name w:val="Table Grid"/>
    <w:basedOn w:val="TableNormal"/>
    <w:rsid w:val="00C1105E"/>
    <w:pPr>
      <w:suppressAutoHyphens/>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A3617"/>
    <w:rPr>
      <w:rFonts w:ascii="Tahoma" w:hAnsi="Tahoma" w:cs="Tahoma"/>
      <w:sz w:val="16"/>
      <w:szCs w:val="16"/>
    </w:rPr>
  </w:style>
  <w:style w:type="paragraph" w:styleId="TableofFigures">
    <w:name w:val="table of figures"/>
    <w:basedOn w:val="Normal"/>
    <w:next w:val="Normal"/>
    <w:semiHidden/>
    <w:rsid w:val="0019799E"/>
  </w:style>
  <w:style w:type="paragraph" w:customStyle="1" w:styleId="Default">
    <w:name w:val="Default"/>
    <w:rsid w:val="007C18F4"/>
    <w:pPr>
      <w:autoSpaceDE w:val="0"/>
      <w:autoSpaceDN w:val="0"/>
      <w:adjustRightInd w:val="0"/>
    </w:pPr>
    <w:rPr>
      <w:rFonts w:ascii="Arial" w:hAnsi="Arial" w:cs="Arial"/>
      <w:color w:val="000000"/>
      <w:sz w:val="24"/>
      <w:szCs w:val="24"/>
      <w:lang w:val="en-US" w:eastAsia="en-US"/>
    </w:rPr>
  </w:style>
  <w:style w:type="paragraph" w:styleId="NormalWeb">
    <w:name w:val="Normal (Web)"/>
    <w:basedOn w:val="Normal"/>
    <w:rsid w:val="00276B7A"/>
    <w:pPr>
      <w:suppressAutoHyphens w:val="0"/>
      <w:spacing w:before="100" w:beforeAutospacing="1" w:after="100" w:afterAutospacing="1"/>
      <w:jc w:val="left"/>
    </w:pPr>
    <w:rPr>
      <w:szCs w:val="24"/>
      <w:lang w:val="en-US" w:eastAsia="en-US"/>
    </w:rPr>
  </w:style>
  <w:style w:type="paragraph" w:customStyle="1" w:styleId="HiLumiTitle">
    <w:name w:val="HiLumi Title"/>
    <w:basedOn w:val="Normal"/>
    <w:rsid w:val="00056BE3"/>
    <w:pPr>
      <w:spacing w:line="240" w:lineRule="atLeast"/>
      <w:jc w:val="center"/>
    </w:pPr>
    <w:rPr>
      <w:rFonts w:ascii="Arial" w:hAnsi="Arial"/>
      <w:b/>
      <w:bCs/>
      <w:color w:val="008DBC"/>
      <w:spacing w:val="20"/>
      <w:sz w:val="64"/>
    </w:rPr>
  </w:style>
  <w:style w:type="paragraph" w:customStyle="1" w:styleId="HiLumiSubtitle">
    <w:name w:val="HiLumi Subtitle"/>
    <w:basedOn w:val="HiLumiTitle"/>
    <w:rsid w:val="00056BE3"/>
    <w:rPr>
      <w:b w:val="0"/>
      <w:sz w:val="24"/>
    </w:rPr>
  </w:style>
  <w:style w:type="paragraph" w:customStyle="1" w:styleId="DelTitle">
    <w:name w:val="DelTitle"/>
    <w:basedOn w:val="DocTitle"/>
    <w:rsid w:val="0004175D"/>
    <w:rPr>
      <w:bCs w:val="0"/>
      <w:sz w:val="36"/>
    </w:rPr>
  </w:style>
  <w:style w:type="paragraph" w:customStyle="1" w:styleId="CoverTitle">
    <w:name w:val="CoverTitle"/>
    <w:basedOn w:val="Normal"/>
    <w:rsid w:val="0004175D"/>
    <w:pPr>
      <w:spacing w:before="120" w:after="120"/>
      <w:jc w:val="left"/>
    </w:pPr>
    <w:rPr>
      <w:rFonts w:ascii="Arial" w:hAnsi="Arial"/>
      <w:b/>
    </w:rPr>
  </w:style>
  <w:style w:type="paragraph" w:customStyle="1" w:styleId="CopyrightTitle">
    <w:name w:val="CopyrightTitle"/>
    <w:basedOn w:val="Normal"/>
    <w:rsid w:val="00CB3AE6"/>
    <w:rPr>
      <w:color w:val="000000"/>
      <w:sz w:val="20"/>
      <w:szCs w:val="16"/>
      <w:u w:val="single"/>
    </w:rPr>
  </w:style>
  <w:style w:type="paragraph" w:customStyle="1" w:styleId="CopyrightText">
    <w:name w:val="CopyrightText"/>
    <w:basedOn w:val="Normal"/>
    <w:link w:val="CopyrightTextChar"/>
    <w:rsid w:val="00CB3AE6"/>
    <w:rPr>
      <w:color w:val="000000"/>
      <w:sz w:val="20"/>
      <w:szCs w:val="16"/>
    </w:rPr>
  </w:style>
  <w:style w:type="character" w:customStyle="1" w:styleId="CopyrightTextChar">
    <w:name w:val="CopyrightText Char"/>
    <w:link w:val="CopyrightText"/>
    <w:rsid w:val="00CB3AE6"/>
    <w:rPr>
      <w:color w:val="000000"/>
      <w:szCs w:val="16"/>
      <w:lang w:val="en-GB" w:eastAsia="fr-FR" w:bidi="ar-SA"/>
    </w:rPr>
  </w:style>
  <w:style w:type="paragraph" w:customStyle="1" w:styleId="CenteredTitle">
    <w:name w:val="CenteredTitle"/>
    <w:basedOn w:val="CoverTitle"/>
    <w:rsid w:val="005822A8"/>
    <w:pPr>
      <w:jc w:val="center"/>
    </w:pPr>
    <w:rPr>
      <w:bCs/>
    </w:rPr>
  </w:style>
  <w:style w:type="paragraph" w:customStyle="1" w:styleId="HiLumiSubtitle9pt">
    <w:name w:val="HiLumi Subtitle 9pt"/>
    <w:basedOn w:val="HiLumiSubtitle"/>
    <w:rsid w:val="00365FD7"/>
    <w:rPr>
      <w:bCs w:val="0"/>
      <w:sz w:val="18"/>
    </w:rPr>
  </w:style>
  <w:style w:type="paragraph" w:customStyle="1" w:styleId="ReportType">
    <w:name w:val="Report Type"/>
    <w:basedOn w:val="Normal"/>
    <w:rsid w:val="005D0B60"/>
    <w:pPr>
      <w:shd w:val="clear" w:color="auto" w:fill="000000"/>
      <w:jc w:val="center"/>
    </w:pPr>
    <w:rPr>
      <w:rFonts w:ascii="Arial" w:hAnsi="Arial"/>
      <w:b/>
      <w:bCs/>
      <w:caps/>
      <w:sz w:val="48"/>
    </w:rPr>
  </w:style>
  <w:style w:type="paragraph" w:styleId="ListParagraph">
    <w:name w:val="List Paragraph"/>
    <w:basedOn w:val="Normal"/>
    <w:uiPriority w:val="34"/>
    <w:qFormat/>
    <w:rsid w:val="00D8714E"/>
    <w:pPr>
      <w:suppressAutoHyphens w:val="0"/>
      <w:spacing w:before="0" w:after="0"/>
      <w:ind w:left="720"/>
      <w:contextualSpacing/>
      <w:jc w:val="left"/>
    </w:pPr>
    <w:rPr>
      <w:rFonts w:ascii="Cambria" w:eastAsia="MS Mincho" w:hAnsi="Cambria"/>
      <w:szCs w:val="24"/>
      <w:lang w:val="en-US" w:eastAsia="en-US"/>
    </w:rPr>
  </w:style>
  <w:style w:type="character" w:customStyle="1" w:styleId="FootnoteTextChar">
    <w:name w:val="Footnote Text Char"/>
    <w:link w:val="FootnoteText"/>
    <w:uiPriority w:val="99"/>
    <w:rsid w:val="00D8714E"/>
    <w:rPr>
      <w:sz w:val="24"/>
      <w:lang w:eastAsia="fr-FR"/>
    </w:rPr>
  </w:style>
  <w:style w:type="character" w:customStyle="1" w:styleId="HeaderChar">
    <w:name w:val="Header Char"/>
    <w:link w:val="Header"/>
    <w:rsid w:val="009B0B3A"/>
    <w:rPr>
      <w:sz w:val="22"/>
      <w:lang w:eastAsia="fr-FR"/>
    </w:rPr>
  </w:style>
  <w:style w:type="character" w:customStyle="1" w:styleId="FooterChar">
    <w:name w:val="Footer Char"/>
    <w:link w:val="Footer"/>
    <w:rsid w:val="009B0B3A"/>
    <w:rPr>
      <w:sz w:val="24"/>
      <w:lang w:eastAsia="fr-FR"/>
    </w:rPr>
  </w:style>
  <w:style w:type="paragraph" w:customStyle="1" w:styleId="CEC-ICMCBody">
    <w:name w:val="CEC-ICMC_Body"/>
    <w:basedOn w:val="Normal"/>
    <w:link w:val="CEC-ICMCBodyChar"/>
    <w:qFormat/>
    <w:rsid w:val="00FC2878"/>
    <w:pPr>
      <w:suppressAutoHyphens w:val="0"/>
      <w:spacing w:before="240" w:after="240"/>
    </w:pPr>
    <w:rPr>
      <w:rFonts w:eastAsia="MS Mincho"/>
      <w:sz w:val="22"/>
      <w:szCs w:val="24"/>
      <w:lang w:val="en-US" w:eastAsia="ja-JP"/>
    </w:rPr>
  </w:style>
  <w:style w:type="character" w:customStyle="1" w:styleId="CEC-ICMCBodyChar">
    <w:name w:val="CEC-ICMC_Body Char"/>
    <w:link w:val="CEC-ICMCBody"/>
    <w:rsid w:val="00FC2878"/>
    <w:rPr>
      <w:rFonts w:eastAsia="MS Mincho"/>
      <w:sz w:val="22"/>
      <w:szCs w:val="24"/>
      <w:lang w:val="en-US" w:eastAsia="ja-JP"/>
    </w:rPr>
  </w:style>
  <w:style w:type="character" w:styleId="CommentReference">
    <w:name w:val="annotation reference"/>
    <w:rsid w:val="000411D2"/>
    <w:rPr>
      <w:sz w:val="16"/>
      <w:szCs w:val="16"/>
    </w:rPr>
  </w:style>
  <w:style w:type="paragraph" w:styleId="CommentSubject">
    <w:name w:val="annotation subject"/>
    <w:basedOn w:val="CommentText"/>
    <w:next w:val="CommentText"/>
    <w:link w:val="CommentSubjectChar"/>
    <w:rsid w:val="000411D2"/>
    <w:pPr>
      <w:spacing w:after="40"/>
    </w:pPr>
    <w:rPr>
      <w:b/>
      <w:bCs/>
      <w:sz w:val="20"/>
      <w:lang w:val="en-GB"/>
    </w:rPr>
  </w:style>
  <w:style w:type="character" w:customStyle="1" w:styleId="CommentTextChar">
    <w:name w:val="Comment Text Char"/>
    <w:link w:val="CommentText"/>
    <w:semiHidden/>
    <w:rsid w:val="000411D2"/>
    <w:rPr>
      <w:sz w:val="16"/>
      <w:lang w:val="en-US" w:eastAsia="fr-FR"/>
    </w:rPr>
  </w:style>
  <w:style w:type="character" w:customStyle="1" w:styleId="CommentSubjectChar">
    <w:name w:val="Comment Subject Char"/>
    <w:link w:val="CommentSubject"/>
    <w:rsid w:val="000411D2"/>
    <w:rPr>
      <w:b/>
      <w:bCs/>
      <w:sz w:val="16"/>
      <w:lang w:val="en-US" w:eastAsia="fr-FR"/>
    </w:rPr>
  </w:style>
  <w:style w:type="paragraph" w:customStyle="1" w:styleId="CEC-ICMCTitle">
    <w:name w:val="CEC-ICMC_Title"/>
    <w:basedOn w:val="Normal"/>
    <w:link w:val="CEC-ICMCTitleChar"/>
    <w:qFormat/>
    <w:rsid w:val="0006521E"/>
    <w:pPr>
      <w:suppressAutoHyphens w:val="0"/>
      <w:spacing w:before="0" w:after="240"/>
      <w:jc w:val="left"/>
    </w:pPr>
    <w:rPr>
      <w:rFonts w:eastAsia="MS Mincho"/>
      <w:b/>
      <w:szCs w:val="24"/>
      <w:lang w:val="en-US" w:eastAsia="ja-JP"/>
    </w:rPr>
  </w:style>
  <w:style w:type="character" w:customStyle="1" w:styleId="CEC-ICMCTitleChar">
    <w:name w:val="CEC-ICMC_Title Char"/>
    <w:link w:val="CEC-ICMCTitle"/>
    <w:rsid w:val="0006521E"/>
    <w:rPr>
      <w:rFonts w:eastAsia="MS Mincho"/>
      <w:b/>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1E90"/>
    <w:pPr>
      <w:suppressAutoHyphens/>
      <w:spacing w:before="40" w:after="40"/>
      <w:jc w:val="both"/>
    </w:pPr>
    <w:rPr>
      <w:sz w:val="24"/>
      <w:lang w:eastAsia="fr-FR"/>
    </w:rPr>
  </w:style>
  <w:style w:type="paragraph" w:styleId="Heading1">
    <w:name w:val="heading 1"/>
    <w:basedOn w:val="Normal"/>
    <w:next w:val="Normal"/>
    <w:autoRedefine/>
    <w:qFormat/>
    <w:rsid w:val="00795F57"/>
    <w:pPr>
      <w:numPr>
        <w:numId w:val="19"/>
      </w:numPr>
      <w:spacing w:before="360" w:after="60"/>
      <w:jc w:val="left"/>
      <w:outlineLvl w:val="0"/>
    </w:pPr>
    <w:rPr>
      <w:rFonts w:ascii="Arial" w:hAnsi="Arial"/>
      <w:b/>
      <w:caps/>
      <w:snapToGrid w:val="0"/>
      <w:sz w:val="28"/>
    </w:rPr>
  </w:style>
  <w:style w:type="paragraph" w:styleId="Heading2">
    <w:name w:val="heading 2"/>
    <w:basedOn w:val="Normal"/>
    <w:next w:val="Normal"/>
    <w:autoRedefine/>
    <w:qFormat/>
    <w:rsid w:val="00952962"/>
    <w:pPr>
      <w:numPr>
        <w:ilvl w:val="1"/>
        <w:numId w:val="19"/>
      </w:numPr>
      <w:spacing w:before="240" w:after="60"/>
      <w:outlineLvl w:val="1"/>
    </w:pPr>
    <w:rPr>
      <w:rFonts w:ascii="Arial" w:hAnsi="Arial"/>
      <w:b/>
      <w:caps/>
      <w:sz w:val="26"/>
    </w:rPr>
  </w:style>
  <w:style w:type="paragraph" w:styleId="Heading3">
    <w:name w:val="heading 3"/>
    <w:basedOn w:val="Normal"/>
    <w:next w:val="Normal"/>
    <w:autoRedefine/>
    <w:qFormat/>
    <w:rsid w:val="0011158C"/>
    <w:pPr>
      <w:keepNext/>
      <w:numPr>
        <w:ilvl w:val="2"/>
        <w:numId w:val="19"/>
      </w:numPr>
      <w:spacing w:before="240" w:after="60"/>
      <w:outlineLvl w:val="2"/>
    </w:pPr>
    <w:rPr>
      <w:rFonts w:ascii="Arial" w:hAnsi="Arial"/>
      <w:b/>
    </w:rPr>
  </w:style>
  <w:style w:type="paragraph" w:styleId="Heading4">
    <w:name w:val="heading 4"/>
    <w:basedOn w:val="Normal"/>
    <w:next w:val="Normal"/>
    <w:autoRedefine/>
    <w:qFormat/>
    <w:rsid w:val="00952962"/>
    <w:pPr>
      <w:keepNext/>
      <w:numPr>
        <w:ilvl w:val="3"/>
        <w:numId w:val="19"/>
      </w:numPr>
      <w:spacing w:before="240" w:after="60"/>
      <w:outlineLvl w:val="3"/>
    </w:pPr>
    <w:rPr>
      <w:rFonts w:ascii="Arial" w:hAnsi="Arial"/>
      <w:b/>
      <w:i/>
      <w:sz w:val="22"/>
    </w:rPr>
  </w:style>
  <w:style w:type="paragraph" w:styleId="Heading5">
    <w:name w:val="heading 5"/>
    <w:basedOn w:val="Normal"/>
    <w:next w:val="Normal"/>
    <w:autoRedefine/>
    <w:qFormat/>
    <w:rsid w:val="00952962"/>
    <w:pPr>
      <w:numPr>
        <w:ilvl w:val="4"/>
        <w:numId w:val="19"/>
      </w:numPr>
      <w:spacing w:before="240" w:after="60"/>
      <w:outlineLvl w:val="4"/>
    </w:pPr>
    <w:rPr>
      <w:rFonts w:ascii="Arial" w:hAnsi="Arial"/>
      <w:b/>
      <w:sz w:val="22"/>
    </w:rPr>
  </w:style>
  <w:style w:type="paragraph" w:styleId="Heading6">
    <w:name w:val="heading 6"/>
    <w:basedOn w:val="Normal"/>
    <w:next w:val="Normal"/>
    <w:autoRedefine/>
    <w:qFormat/>
    <w:rsid w:val="00952962"/>
    <w:pPr>
      <w:numPr>
        <w:ilvl w:val="5"/>
        <w:numId w:val="19"/>
      </w:numPr>
      <w:spacing w:before="240" w:after="60"/>
      <w:outlineLvl w:val="5"/>
    </w:pPr>
    <w:rPr>
      <w:rFonts w:ascii="Arial" w:hAnsi="Arial"/>
      <w:i/>
      <w:sz w:val="22"/>
    </w:rPr>
  </w:style>
  <w:style w:type="paragraph" w:styleId="Heading7">
    <w:name w:val="heading 7"/>
    <w:basedOn w:val="Normal"/>
    <w:next w:val="Normal"/>
    <w:autoRedefine/>
    <w:qFormat/>
    <w:rsid w:val="00952962"/>
    <w:pPr>
      <w:numPr>
        <w:ilvl w:val="6"/>
        <w:numId w:val="19"/>
      </w:numPr>
      <w:spacing w:before="240" w:after="60"/>
      <w:outlineLvl w:val="6"/>
    </w:pPr>
    <w:rPr>
      <w:rFonts w:ascii="Arial" w:hAnsi="Arial"/>
      <w:b/>
      <w:sz w:val="20"/>
    </w:rPr>
  </w:style>
  <w:style w:type="paragraph" w:styleId="Heading8">
    <w:name w:val="heading 8"/>
    <w:basedOn w:val="Normal"/>
    <w:next w:val="Normal"/>
    <w:autoRedefine/>
    <w:qFormat/>
    <w:rsid w:val="00952962"/>
    <w:pPr>
      <w:numPr>
        <w:ilvl w:val="7"/>
        <w:numId w:val="19"/>
      </w:numPr>
      <w:spacing w:before="240" w:after="60"/>
      <w:outlineLvl w:val="7"/>
    </w:pPr>
    <w:rPr>
      <w:rFonts w:ascii="Arial" w:hAnsi="Arial"/>
      <w:i/>
      <w:sz w:val="20"/>
    </w:rPr>
  </w:style>
  <w:style w:type="paragraph" w:styleId="Heading9">
    <w:name w:val="heading 9"/>
    <w:basedOn w:val="Normal"/>
    <w:next w:val="Normal"/>
    <w:autoRedefine/>
    <w:qFormat/>
    <w:rsid w:val="00952962"/>
    <w:pPr>
      <w:numPr>
        <w:ilvl w:val="8"/>
        <w:numId w:val="19"/>
      </w:numPr>
      <w:spacing w:before="240" w:after="60"/>
      <w:outlineLvl w:val="8"/>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Pr>
      <w:vertAlign w:val="superscript"/>
    </w:rPr>
  </w:style>
  <w:style w:type="paragraph" w:styleId="Header">
    <w:name w:val="header"/>
    <w:basedOn w:val="Normal"/>
    <w:link w:val="HeaderChar"/>
    <w:rsid w:val="00952962"/>
    <w:pPr>
      <w:tabs>
        <w:tab w:val="center" w:pos="4819"/>
        <w:tab w:val="right" w:pos="9071"/>
      </w:tabs>
    </w:pPr>
    <w:rPr>
      <w:sz w:val="22"/>
    </w:rPr>
  </w:style>
  <w:style w:type="paragraph" w:styleId="Footer">
    <w:name w:val="footer"/>
    <w:basedOn w:val="Normal"/>
    <w:link w:val="FooterChar"/>
    <w:pPr>
      <w:tabs>
        <w:tab w:val="center" w:pos="4536"/>
        <w:tab w:val="right" w:pos="9072"/>
      </w:tabs>
    </w:pPr>
  </w:style>
  <w:style w:type="character" w:styleId="PageNumber">
    <w:name w:val="page number"/>
    <w:basedOn w:val="DefaultParagraphFont"/>
  </w:style>
  <w:style w:type="paragraph" w:styleId="FootnoteText">
    <w:name w:val="footnote text"/>
    <w:basedOn w:val="Normal"/>
    <w:link w:val="FootnoteTextChar"/>
    <w:uiPriority w:val="99"/>
    <w:pPr>
      <w:widowControl w:val="0"/>
    </w:pPr>
  </w:style>
  <w:style w:type="paragraph" w:styleId="Caption">
    <w:name w:val="caption"/>
    <w:basedOn w:val="Normal"/>
    <w:next w:val="Normal"/>
    <w:qFormat/>
    <w:rsid w:val="00BD2D2E"/>
    <w:pPr>
      <w:spacing w:before="120" w:after="120"/>
      <w:jc w:val="center"/>
    </w:pPr>
    <w:rPr>
      <w:i/>
      <w:sz w:val="20"/>
    </w:rPr>
  </w:style>
  <w:style w:type="paragraph" w:styleId="TOC1">
    <w:name w:val="toc 1"/>
    <w:basedOn w:val="Normal"/>
    <w:next w:val="Normal"/>
    <w:autoRedefine/>
    <w:uiPriority w:val="39"/>
    <w:rsid w:val="00CE03B6"/>
    <w:pPr>
      <w:tabs>
        <w:tab w:val="left" w:pos="440"/>
        <w:tab w:val="right" w:leader="dot" w:pos="9062"/>
      </w:tabs>
      <w:spacing w:before="120" w:after="120"/>
    </w:pPr>
    <w:rPr>
      <w:b/>
      <w:caps/>
      <w:sz w:val="20"/>
    </w:rPr>
  </w:style>
  <w:style w:type="paragraph" w:styleId="TOC2">
    <w:name w:val="toc 2"/>
    <w:basedOn w:val="Normal"/>
    <w:next w:val="Normal"/>
    <w:autoRedefine/>
    <w:uiPriority w:val="39"/>
    <w:pPr>
      <w:spacing w:before="0" w:after="0"/>
      <w:ind w:left="220"/>
    </w:pPr>
    <w:rPr>
      <w:smallCaps/>
      <w:sz w:val="20"/>
    </w:rPr>
  </w:style>
  <w:style w:type="paragraph" w:styleId="TOC3">
    <w:name w:val="toc 3"/>
    <w:basedOn w:val="Normal"/>
    <w:next w:val="Normal"/>
    <w:autoRedefine/>
    <w:uiPriority w:val="39"/>
    <w:pPr>
      <w:spacing w:before="0" w:after="0"/>
      <w:ind w:left="440"/>
    </w:pPr>
    <w:rPr>
      <w:i/>
      <w:sz w:val="20"/>
    </w:rPr>
  </w:style>
  <w:style w:type="paragraph" w:styleId="TOC4">
    <w:name w:val="toc 4"/>
    <w:basedOn w:val="Normal"/>
    <w:next w:val="Normal"/>
    <w:autoRedefine/>
    <w:semiHidden/>
    <w:pPr>
      <w:spacing w:before="0" w:after="0"/>
      <w:ind w:left="660"/>
    </w:pPr>
    <w:rPr>
      <w:sz w:val="18"/>
    </w:rPr>
  </w:style>
  <w:style w:type="paragraph" w:styleId="TOC5">
    <w:name w:val="toc 5"/>
    <w:basedOn w:val="Normal"/>
    <w:next w:val="Normal"/>
    <w:autoRedefine/>
    <w:semiHidden/>
    <w:pPr>
      <w:spacing w:before="0" w:after="0"/>
      <w:ind w:left="880"/>
    </w:pPr>
    <w:rPr>
      <w:sz w:val="18"/>
    </w:rPr>
  </w:style>
  <w:style w:type="paragraph" w:styleId="TOC6">
    <w:name w:val="toc 6"/>
    <w:basedOn w:val="Normal"/>
    <w:next w:val="Normal"/>
    <w:autoRedefine/>
    <w:semiHidden/>
    <w:pPr>
      <w:spacing w:before="0" w:after="0"/>
      <w:ind w:left="1100"/>
    </w:pPr>
    <w:rPr>
      <w:sz w:val="18"/>
    </w:rPr>
  </w:style>
  <w:style w:type="paragraph" w:styleId="TOC7">
    <w:name w:val="toc 7"/>
    <w:basedOn w:val="Normal"/>
    <w:next w:val="Normal"/>
    <w:autoRedefine/>
    <w:semiHidden/>
    <w:pPr>
      <w:spacing w:before="0" w:after="0"/>
      <w:ind w:left="1320"/>
    </w:pPr>
    <w:rPr>
      <w:sz w:val="18"/>
    </w:rPr>
  </w:style>
  <w:style w:type="paragraph" w:styleId="TOC8">
    <w:name w:val="toc 8"/>
    <w:basedOn w:val="Normal"/>
    <w:next w:val="Normal"/>
    <w:autoRedefine/>
    <w:semiHidden/>
    <w:pPr>
      <w:spacing w:before="0" w:after="0"/>
      <w:ind w:left="1540"/>
    </w:pPr>
    <w:rPr>
      <w:sz w:val="18"/>
    </w:rPr>
  </w:style>
  <w:style w:type="paragraph" w:styleId="TOC9">
    <w:name w:val="toc 9"/>
    <w:basedOn w:val="Normal"/>
    <w:next w:val="Normal"/>
    <w:autoRedefine/>
    <w:semiHidden/>
    <w:pPr>
      <w:spacing w:before="0" w:after="0"/>
      <w:ind w:left="1760"/>
    </w:pPr>
    <w:rPr>
      <w:sz w:val="18"/>
    </w:rPr>
  </w:style>
  <w:style w:type="paragraph" w:styleId="CommentText">
    <w:name w:val="annotation text"/>
    <w:basedOn w:val="Normal"/>
    <w:link w:val="CommentTextChar"/>
    <w:semiHidden/>
    <w:pPr>
      <w:spacing w:after="120"/>
    </w:pPr>
    <w:rPr>
      <w:sz w:val="16"/>
      <w:lang w:val="en-US"/>
    </w:rPr>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cs="Helvetica"/>
    </w:rPr>
  </w:style>
  <w:style w:type="character" w:customStyle="1" w:styleId="DocId">
    <w:name w:val="DocId"/>
    <w:basedOn w:val="DefaultParagraphFont"/>
  </w:style>
  <w:style w:type="character" w:styleId="FollowedHyperlink">
    <w:name w:val="FollowedHyperlink"/>
    <w:rPr>
      <w:color w:val="800080"/>
      <w:u w:val="single"/>
    </w:rPr>
  </w:style>
  <w:style w:type="paragraph" w:customStyle="1" w:styleId="DocTitle">
    <w:name w:val="DocTitle"/>
    <w:basedOn w:val="HiLumiTitle"/>
    <w:rsid w:val="00DD7E05"/>
    <w:rPr>
      <w:smallCaps/>
      <w:color w:val="auto"/>
      <w:sz w:val="52"/>
    </w:rPr>
  </w:style>
  <w:style w:type="paragraph" w:customStyle="1" w:styleId="DocDate">
    <w:name w:val="DocDate"/>
    <w:basedOn w:val="Normal"/>
    <w:rsid w:val="00B52F32"/>
    <w:pPr>
      <w:spacing w:before="120" w:after="120"/>
    </w:pPr>
    <w:rPr>
      <w:noProof/>
      <w:snapToGrid w:val="0"/>
    </w:rPr>
  </w:style>
  <w:style w:type="paragraph" w:customStyle="1" w:styleId="DocSubTitle">
    <w:name w:val="DocSubTitle"/>
    <w:basedOn w:val="DocTitle"/>
    <w:next w:val="Normal"/>
    <w:rPr>
      <w:sz w:val="24"/>
    </w:rPr>
  </w:style>
  <w:style w:type="table" w:styleId="TableGrid">
    <w:name w:val="Table Grid"/>
    <w:basedOn w:val="TableNormal"/>
    <w:rsid w:val="00C1105E"/>
    <w:pPr>
      <w:suppressAutoHyphens/>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A3617"/>
    <w:rPr>
      <w:rFonts w:ascii="Tahoma" w:hAnsi="Tahoma" w:cs="Tahoma"/>
      <w:sz w:val="16"/>
      <w:szCs w:val="16"/>
    </w:rPr>
  </w:style>
  <w:style w:type="paragraph" w:styleId="TableofFigures">
    <w:name w:val="table of figures"/>
    <w:basedOn w:val="Normal"/>
    <w:next w:val="Normal"/>
    <w:semiHidden/>
    <w:rsid w:val="0019799E"/>
  </w:style>
  <w:style w:type="paragraph" w:customStyle="1" w:styleId="Default">
    <w:name w:val="Default"/>
    <w:rsid w:val="007C18F4"/>
    <w:pPr>
      <w:autoSpaceDE w:val="0"/>
      <w:autoSpaceDN w:val="0"/>
      <w:adjustRightInd w:val="0"/>
    </w:pPr>
    <w:rPr>
      <w:rFonts w:ascii="Arial" w:hAnsi="Arial" w:cs="Arial"/>
      <w:color w:val="000000"/>
      <w:sz w:val="24"/>
      <w:szCs w:val="24"/>
      <w:lang w:val="en-US" w:eastAsia="en-US"/>
    </w:rPr>
  </w:style>
  <w:style w:type="paragraph" w:styleId="NormalWeb">
    <w:name w:val="Normal (Web)"/>
    <w:basedOn w:val="Normal"/>
    <w:rsid w:val="00276B7A"/>
    <w:pPr>
      <w:suppressAutoHyphens w:val="0"/>
      <w:spacing w:before="100" w:beforeAutospacing="1" w:after="100" w:afterAutospacing="1"/>
      <w:jc w:val="left"/>
    </w:pPr>
    <w:rPr>
      <w:szCs w:val="24"/>
      <w:lang w:val="en-US" w:eastAsia="en-US"/>
    </w:rPr>
  </w:style>
  <w:style w:type="paragraph" w:customStyle="1" w:styleId="HiLumiTitle">
    <w:name w:val="HiLumi Title"/>
    <w:basedOn w:val="Normal"/>
    <w:rsid w:val="00056BE3"/>
    <w:pPr>
      <w:spacing w:line="240" w:lineRule="atLeast"/>
      <w:jc w:val="center"/>
    </w:pPr>
    <w:rPr>
      <w:rFonts w:ascii="Arial" w:hAnsi="Arial"/>
      <w:b/>
      <w:bCs/>
      <w:color w:val="008DBC"/>
      <w:spacing w:val="20"/>
      <w:sz w:val="64"/>
    </w:rPr>
  </w:style>
  <w:style w:type="paragraph" w:customStyle="1" w:styleId="HiLumiSubtitle">
    <w:name w:val="HiLumi Subtitle"/>
    <w:basedOn w:val="HiLumiTitle"/>
    <w:rsid w:val="00056BE3"/>
    <w:rPr>
      <w:b w:val="0"/>
      <w:sz w:val="24"/>
    </w:rPr>
  </w:style>
  <w:style w:type="paragraph" w:customStyle="1" w:styleId="DelTitle">
    <w:name w:val="DelTitle"/>
    <w:basedOn w:val="DocTitle"/>
    <w:rsid w:val="0004175D"/>
    <w:rPr>
      <w:bCs w:val="0"/>
      <w:sz w:val="36"/>
    </w:rPr>
  </w:style>
  <w:style w:type="paragraph" w:customStyle="1" w:styleId="CoverTitle">
    <w:name w:val="CoverTitle"/>
    <w:basedOn w:val="Normal"/>
    <w:rsid w:val="0004175D"/>
    <w:pPr>
      <w:spacing w:before="120" w:after="120"/>
      <w:jc w:val="left"/>
    </w:pPr>
    <w:rPr>
      <w:rFonts w:ascii="Arial" w:hAnsi="Arial"/>
      <w:b/>
    </w:rPr>
  </w:style>
  <w:style w:type="paragraph" w:customStyle="1" w:styleId="CopyrightTitle">
    <w:name w:val="CopyrightTitle"/>
    <w:basedOn w:val="Normal"/>
    <w:rsid w:val="00CB3AE6"/>
    <w:rPr>
      <w:color w:val="000000"/>
      <w:sz w:val="20"/>
      <w:szCs w:val="16"/>
      <w:u w:val="single"/>
    </w:rPr>
  </w:style>
  <w:style w:type="paragraph" w:customStyle="1" w:styleId="CopyrightText">
    <w:name w:val="CopyrightText"/>
    <w:basedOn w:val="Normal"/>
    <w:link w:val="CopyrightTextChar"/>
    <w:rsid w:val="00CB3AE6"/>
    <w:rPr>
      <w:color w:val="000000"/>
      <w:sz w:val="20"/>
      <w:szCs w:val="16"/>
    </w:rPr>
  </w:style>
  <w:style w:type="character" w:customStyle="1" w:styleId="CopyrightTextChar">
    <w:name w:val="CopyrightText Char"/>
    <w:link w:val="CopyrightText"/>
    <w:rsid w:val="00CB3AE6"/>
    <w:rPr>
      <w:color w:val="000000"/>
      <w:szCs w:val="16"/>
      <w:lang w:val="en-GB" w:eastAsia="fr-FR" w:bidi="ar-SA"/>
    </w:rPr>
  </w:style>
  <w:style w:type="paragraph" w:customStyle="1" w:styleId="CenteredTitle">
    <w:name w:val="CenteredTitle"/>
    <w:basedOn w:val="CoverTitle"/>
    <w:rsid w:val="005822A8"/>
    <w:pPr>
      <w:jc w:val="center"/>
    </w:pPr>
    <w:rPr>
      <w:bCs/>
    </w:rPr>
  </w:style>
  <w:style w:type="paragraph" w:customStyle="1" w:styleId="HiLumiSubtitle9pt">
    <w:name w:val="HiLumi Subtitle 9pt"/>
    <w:basedOn w:val="HiLumiSubtitle"/>
    <w:rsid w:val="00365FD7"/>
    <w:rPr>
      <w:bCs w:val="0"/>
      <w:sz w:val="18"/>
    </w:rPr>
  </w:style>
  <w:style w:type="paragraph" w:customStyle="1" w:styleId="ReportType">
    <w:name w:val="Report Type"/>
    <w:basedOn w:val="Normal"/>
    <w:rsid w:val="005D0B60"/>
    <w:pPr>
      <w:shd w:val="clear" w:color="auto" w:fill="000000"/>
      <w:jc w:val="center"/>
    </w:pPr>
    <w:rPr>
      <w:rFonts w:ascii="Arial" w:hAnsi="Arial"/>
      <w:b/>
      <w:bCs/>
      <w:caps/>
      <w:sz w:val="48"/>
    </w:rPr>
  </w:style>
  <w:style w:type="paragraph" w:styleId="ListParagraph">
    <w:name w:val="List Paragraph"/>
    <w:basedOn w:val="Normal"/>
    <w:uiPriority w:val="34"/>
    <w:qFormat/>
    <w:rsid w:val="00D8714E"/>
    <w:pPr>
      <w:suppressAutoHyphens w:val="0"/>
      <w:spacing w:before="0" w:after="0"/>
      <w:ind w:left="720"/>
      <w:contextualSpacing/>
      <w:jc w:val="left"/>
    </w:pPr>
    <w:rPr>
      <w:rFonts w:ascii="Cambria" w:eastAsia="MS Mincho" w:hAnsi="Cambria"/>
      <w:szCs w:val="24"/>
      <w:lang w:val="en-US" w:eastAsia="en-US"/>
    </w:rPr>
  </w:style>
  <w:style w:type="character" w:customStyle="1" w:styleId="FootnoteTextChar">
    <w:name w:val="Footnote Text Char"/>
    <w:link w:val="FootnoteText"/>
    <w:uiPriority w:val="99"/>
    <w:rsid w:val="00D8714E"/>
    <w:rPr>
      <w:sz w:val="24"/>
      <w:lang w:eastAsia="fr-FR"/>
    </w:rPr>
  </w:style>
  <w:style w:type="character" w:customStyle="1" w:styleId="HeaderChar">
    <w:name w:val="Header Char"/>
    <w:link w:val="Header"/>
    <w:rsid w:val="009B0B3A"/>
    <w:rPr>
      <w:sz w:val="22"/>
      <w:lang w:eastAsia="fr-FR"/>
    </w:rPr>
  </w:style>
  <w:style w:type="character" w:customStyle="1" w:styleId="FooterChar">
    <w:name w:val="Footer Char"/>
    <w:link w:val="Footer"/>
    <w:rsid w:val="009B0B3A"/>
    <w:rPr>
      <w:sz w:val="24"/>
      <w:lang w:eastAsia="fr-FR"/>
    </w:rPr>
  </w:style>
  <w:style w:type="paragraph" w:customStyle="1" w:styleId="CEC-ICMCBody">
    <w:name w:val="CEC-ICMC_Body"/>
    <w:basedOn w:val="Normal"/>
    <w:link w:val="CEC-ICMCBodyChar"/>
    <w:qFormat/>
    <w:rsid w:val="00FC2878"/>
    <w:pPr>
      <w:suppressAutoHyphens w:val="0"/>
      <w:spacing w:before="240" w:after="240"/>
    </w:pPr>
    <w:rPr>
      <w:rFonts w:eastAsia="MS Mincho"/>
      <w:sz w:val="22"/>
      <w:szCs w:val="24"/>
      <w:lang w:val="en-US" w:eastAsia="ja-JP"/>
    </w:rPr>
  </w:style>
  <w:style w:type="character" w:customStyle="1" w:styleId="CEC-ICMCBodyChar">
    <w:name w:val="CEC-ICMC_Body Char"/>
    <w:link w:val="CEC-ICMCBody"/>
    <w:rsid w:val="00FC2878"/>
    <w:rPr>
      <w:rFonts w:eastAsia="MS Mincho"/>
      <w:sz w:val="22"/>
      <w:szCs w:val="24"/>
      <w:lang w:val="en-US" w:eastAsia="ja-JP"/>
    </w:rPr>
  </w:style>
  <w:style w:type="character" w:styleId="CommentReference">
    <w:name w:val="annotation reference"/>
    <w:rsid w:val="000411D2"/>
    <w:rPr>
      <w:sz w:val="16"/>
      <w:szCs w:val="16"/>
    </w:rPr>
  </w:style>
  <w:style w:type="paragraph" w:styleId="CommentSubject">
    <w:name w:val="annotation subject"/>
    <w:basedOn w:val="CommentText"/>
    <w:next w:val="CommentText"/>
    <w:link w:val="CommentSubjectChar"/>
    <w:rsid w:val="000411D2"/>
    <w:pPr>
      <w:spacing w:after="40"/>
    </w:pPr>
    <w:rPr>
      <w:b/>
      <w:bCs/>
      <w:sz w:val="20"/>
      <w:lang w:val="en-GB"/>
    </w:rPr>
  </w:style>
  <w:style w:type="character" w:customStyle="1" w:styleId="CommentTextChar">
    <w:name w:val="Comment Text Char"/>
    <w:link w:val="CommentText"/>
    <w:semiHidden/>
    <w:rsid w:val="000411D2"/>
    <w:rPr>
      <w:sz w:val="16"/>
      <w:lang w:val="en-US" w:eastAsia="fr-FR"/>
    </w:rPr>
  </w:style>
  <w:style w:type="character" w:customStyle="1" w:styleId="CommentSubjectChar">
    <w:name w:val="Comment Subject Char"/>
    <w:link w:val="CommentSubject"/>
    <w:rsid w:val="000411D2"/>
    <w:rPr>
      <w:b/>
      <w:bCs/>
      <w:sz w:val="16"/>
      <w:lang w:val="en-US" w:eastAsia="fr-FR"/>
    </w:rPr>
  </w:style>
  <w:style w:type="paragraph" w:customStyle="1" w:styleId="CEC-ICMCTitle">
    <w:name w:val="CEC-ICMC_Title"/>
    <w:basedOn w:val="Normal"/>
    <w:link w:val="CEC-ICMCTitleChar"/>
    <w:qFormat/>
    <w:rsid w:val="0006521E"/>
    <w:pPr>
      <w:suppressAutoHyphens w:val="0"/>
      <w:spacing w:before="0" w:after="240"/>
      <w:jc w:val="left"/>
    </w:pPr>
    <w:rPr>
      <w:rFonts w:eastAsia="MS Mincho"/>
      <w:b/>
      <w:szCs w:val="24"/>
      <w:lang w:val="en-US" w:eastAsia="ja-JP"/>
    </w:rPr>
  </w:style>
  <w:style w:type="character" w:customStyle="1" w:styleId="CEC-ICMCTitleChar">
    <w:name w:val="CEC-ICMC_Title Char"/>
    <w:link w:val="CEC-ICMCTitle"/>
    <w:rsid w:val="0006521E"/>
    <w:rPr>
      <w:rFonts w:eastAsia="MS Mincho"/>
      <w:b/>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26088">
      <w:bodyDiv w:val="1"/>
      <w:marLeft w:val="0"/>
      <w:marRight w:val="0"/>
      <w:marTop w:val="0"/>
      <w:marBottom w:val="0"/>
      <w:divBdr>
        <w:top w:val="none" w:sz="0" w:space="0" w:color="auto"/>
        <w:left w:val="none" w:sz="0" w:space="0" w:color="auto"/>
        <w:bottom w:val="none" w:sz="0" w:space="0" w:color="auto"/>
        <w:right w:val="none" w:sz="0" w:space="0" w:color="auto"/>
      </w:divBdr>
    </w:div>
    <w:div w:id="571701105">
      <w:bodyDiv w:val="1"/>
      <w:marLeft w:val="0"/>
      <w:marRight w:val="0"/>
      <w:marTop w:val="0"/>
      <w:marBottom w:val="0"/>
      <w:divBdr>
        <w:top w:val="none" w:sz="0" w:space="0" w:color="auto"/>
        <w:left w:val="none" w:sz="0" w:space="0" w:color="auto"/>
        <w:bottom w:val="none" w:sz="0" w:space="0" w:color="auto"/>
        <w:right w:val="none" w:sz="0" w:space="0" w:color="auto"/>
      </w:divBdr>
    </w:div>
    <w:div w:id="597635806">
      <w:bodyDiv w:val="1"/>
      <w:marLeft w:val="0"/>
      <w:marRight w:val="0"/>
      <w:marTop w:val="0"/>
      <w:marBottom w:val="0"/>
      <w:divBdr>
        <w:top w:val="none" w:sz="0" w:space="0" w:color="auto"/>
        <w:left w:val="none" w:sz="0" w:space="0" w:color="auto"/>
        <w:bottom w:val="none" w:sz="0" w:space="0" w:color="auto"/>
        <w:right w:val="none" w:sz="0" w:space="0" w:color="auto"/>
      </w:divBdr>
    </w:div>
    <w:div w:id="622997673">
      <w:bodyDiv w:val="1"/>
      <w:marLeft w:val="0"/>
      <w:marRight w:val="0"/>
      <w:marTop w:val="0"/>
      <w:marBottom w:val="0"/>
      <w:divBdr>
        <w:top w:val="none" w:sz="0" w:space="0" w:color="auto"/>
        <w:left w:val="none" w:sz="0" w:space="0" w:color="auto"/>
        <w:bottom w:val="none" w:sz="0" w:space="0" w:color="auto"/>
        <w:right w:val="none" w:sz="0" w:space="0" w:color="auto"/>
      </w:divBdr>
    </w:div>
    <w:div w:id="992215905">
      <w:bodyDiv w:val="1"/>
      <w:marLeft w:val="0"/>
      <w:marRight w:val="0"/>
      <w:marTop w:val="0"/>
      <w:marBottom w:val="0"/>
      <w:divBdr>
        <w:top w:val="none" w:sz="0" w:space="0" w:color="auto"/>
        <w:left w:val="none" w:sz="0" w:space="0" w:color="auto"/>
        <w:bottom w:val="none" w:sz="0" w:space="0" w:color="auto"/>
        <w:right w:val="none" w:sz="0" w:space="0" w:color="auto"/>
      </w:divBdr>
      <w:divsChild>
        <w:div w:id="1321738277">
          <w:marLeft w:val="0"/>
          <w:marRight w:val="0"/>
          <w:marTop w:val="0"/>
          <w:marBottom w:val="0"/>
          <w:divBdr>
            <w:top w:val="none" w:sz="0" w:space="0" w:color="auto"/>
            <w:left w:val="none" w:sz="0" w:space="0" w:color="auto"/>
            <w:bottom w:val="none" w:sz="0" w:space="0" w:color="auto"/>
            <w:right w:val="none" w:sz="0" w:space="0" w:color="auto"/>
          </w:divBdr>
          <w:divsChild>
            <w:div w:id="5551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29291">
      <w:bodyDiv w:val="1"/>
      <w:marLeft w:val="0"/>
      <w:marRight w:val="0"/>
      <w:marTop w:val="0"/>
      <w:marBottom w:val="0"/>
      <w:divBdr>
        <w:top w:val="none" w:sz="0" w:space="0" w:color="auto"/>
        <w:left w:val="none" w:sz="0" w:space="0" w:color="auto"/>
        <w:bottom w:val="none" w:sz="0" w:space="0" w:color="auto"/>
        <w:right w:val="none" w:sz="0" w:space="0" w:color="auto"/>
      </w:divBdr>
      <w:divsChild>
        <w:div w:id="927423990">
          <w:marLeft w:val="0"/>
          <w:marRight w:val="0"/>
          <w:marTop w:val="0"/>
          <w:marBottom w:val="0"/>
          <w:divBdr>
            <w:top w:val="none" w:sz="0" w:space="0" w:color="auto"/>
            <w:left w:val="none" w:sz="0" w:space="0" w:color="auto"/>
            <w:bottom w:val="none" w:sz="0" w:space="0" w:color="auto"/>
            <w:right w:val="none" w:sz="0" w:space="0" w:color="auto"/>
          </w:divBdr>
          <w:divsChild>
            <w:div w:id="4503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63157">
      <w:bodyDiv w:val="1"/>
      <w:marLeft w:val="0"/>
      <w:marRight w:val="0"/>
      <w:marTop w:val="0"/>
      <w:marBottom w:val="0"/>
      <w:divBdr>
        <w:top w:val="none" w:sz="0" w:space="0" w:color="auto"/>
        <w:left w:val="none" w:sz="0" w:space="0" w:color="auto"/>
        <w:bottom w:val="none" w:sz="0" w:space="0" w:color="auto"/>
        <w:right w:val="none" w:sz="0" w:space="0" w:color="auto"/>
      </w:divBdr>
    </w:div>
    <w:div w:id="1469201762">
      <w:bodyDiv w:val="1"/>
      <w:marLeft w:val="0"/>
      <w:marRight w:val="0"/>
      <w:marTop w:val="0"/>
      <w:marBottom w:val="0"/>
      <w:divBdr>
        <w:top w:val="none" w:sz="0" w:space="0" w:color="auto"/>
        <w:left w:val="none" w:sz="0" w:space="0" w:color="auto"/>
        <w:bottom w:val="none" w:sz="0" w:space="0" w:color="auto"/>
        <w:right w:val="none" w:sz="0" w:space="0" w:color="auto"/>
      </w:divBdr>
      <w:divsChild>
        <w:div w:id="1895769760">
          <w:marLeft w:val="0"/>
          <w:marRight w:val="0"/>
          <w:marTop w:val="0"/>
          <w:marBottom w:val="0"/>
          <w:divBdr>
            <w:top w:val="none" w:sz="0" w:space="0" w:color="auto"/>
            <w:left w:val="none" w:sz="0" w:space="0" w:color="auto"/>
            <w:bottom w:val="none" w:sz="0" w:space="0" w:color="auto"/>
            <w:right w:val="none" w:sz="0" w:space="0" w:color="auto"/>
          </w:divBdr>
          <w:divsChild>
            <w:div w:id="7801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hyperlink" Target="http://www.cern.ch/HiLumiLHC"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65F00B9AFF9D4DB8D423D62D364FE5" ma:contentTypeVersion="0" ma:contentTypeDescription="Create a new document." ma:contentTypeScope="" ma:versionID="1f5c5222447e6795847028ce554a3f6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3255C-B7F8-4A51-A906-004A233A887F}">
  <ds:schemaRefs>
    <ds:schemaRef ds:uri="http://schemas.microsoft.com/sharepoint/v3/contenttype/forms"/>
  </ds:schemaRefs>
</ds:datastoreItem>
</file>

<file path=customXml/itemProps2.xml><?xml version="1.0" encoding="utf-8"?>
<ds:datastoreItem xmlns:ds="http://schemas.openxmlformats.org/officeDocument/2006/customXml" ds:itemID="{6DBEA1FC-A5EC-44EA-B814-8691CD73C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98B0C0E-BDD4-4DE8-8011-56C2987C2837}">
  <ds:schemaRefs>
    <ds:schemaRef ds:uri="http://purl.org/dc/dcmitype/"/>
    <ds:schemaRef ds:uri="http://purl.org/dc/term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DE685CD-2721-42AE-8BD0-98196CD53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2202</Words>
  <Characters>11968</Characters>
  <Application>Microsoft Office Word</Application>
  <DocSecurity>0</DocSecurity>
  <Lines>99</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HiLumi LHC Milestone template</vt:lpstr>
      <vt:lpstr>HiLumi LHC Milestone template</vt:lpstr>
    </vt:vector>
  </TitlesOfParts>
  <Company>EGEE</Company>
  <LinksUpToDate>false</LinksUpToDate>
  <CharactersWithSpaces>14142</CharactersWithSpaces>
  <SharedDoc>false</SharedDoc>
  <HLinks>
    <vt:vector size="6" baseType="variant">
      <vt:variant>
        <vt:i4>1703946</vt:i4>
      </vt:variant>
      <vt:variant>
        <vt:i4>3</vt:i4>
      </vt:variant>
      <vt:variant>
        <vt:i4>0</vt:i4>
      </vt:variant>
      <vt:variant>
        <vt:i4>5</vt:i4>
      </vt:variant>
      <vt:variant>
        <vt:lpwstr>http://www.cern.ch/HiLumiLHC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HiLumi LHC Milestone template</dc:title>
  <dc:creator>Zaquine Gabriel</dc:creator>
  <cp:lastModifiedBy>etodesco</cp:lastModifiedBy>
  <cp:revision>3</cp:revision>
  <cp:lastPrinted>2014-08-01T08:06:00Z</cp:lastPrinted>
  <dcterms:created xsi:type="dcterms:W3CDTF">2014-12-04T09:28:00Z</dcterms:created>
  <dcterms:modified xsi:type="dcterms:W3CDTF">2014-12-04T09:30:00Z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